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51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1229"/>
        <w:gridCol w:w="1851"/>
        <w:gridCol w:w="2078"/>
        <w:gridCol w:w="2134"/>
      </w:tblGrid>
      <w:tr w:rsidR="00566E12" w:rsidRPr="00C118A9" w:rsidTr="00566E12">
        <w:trPr>
          <w:trHeight w:val="75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20"/>
              </w:rPr>
              <w:t>Tissue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20"/>
              </w:rPr>
              <w:t>Klotho +/+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20"/>
              </w:rPr>
              <w:t>Klotho -/-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20"/>
              </w:rPr>
              <w:t>SAMP1/Klotho +/+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Cs w:val="20"/>
              </w:rPr>
              <w:t xml:space="preserve">SAMP1/Klotho -/- </w:t>
            </w:r>
          </w:p>
        </w:tc>
      </w:tr>
      <w:tr w:rsidR="00566E12" w:rsidRPr="00C118A9" w:rsidTr="00566E12">
        <w:trPr>
          <w:trHeight w:val="57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Tongue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Cacification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Fat formation in Muscularis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Fat formation in Muscularis</w:t>
            </w:r>
          </w:p>
        </w:tc>
      </w:tr>
      <w:tr w:rsidR="00566E12" w:rsidRPr="00C118A9" w:rsidTr="00566E12">
        <w:trPr>
          <w:trHeight w:val="57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Salivary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gland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Cacification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 xml:space="preserve">Cacification </w:t>
            </w:r>
          </w:p>
        </w:tc>
      </w:tr>
      <w:tr w:rsidR="00566E12" w:rsidRPr="00C118A9" w:rsidTr="00566E12">
        <w:trPr>
          <w:trHeight w:val="83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Lung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Mild congestion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Emphysema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Mild congestion, alveolar wall thickness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Mild congestion, alveolar wall thickness, Hemorrhage</w:t>
            </w:r>
          </w:p>
        </w:tc>
      </w:tr>
      <w:tr w:rsidR="00566E12" w:rsidRPr="00C118A9" w:rsidTr="00566E12">
        <w:trPr>
          <w:trHeight w:val="83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Thymus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Calcification,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focal neutrophilic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inflammation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60006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600060"/>
                <w:kern w:val="0"/>
                <w:szCs w:val="20"/>
              </w:rPr>
              <w:t>Calicification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Calcification</w:t>
            </w:r>
          </w:p>
        </w:tc>
      </w:tr>
      <w:tr w:rsidR="00566E12" w:rsidRPr="00C118A9" w:rsidTr="00566E12">
        <w:trPr>
          <w:trHeight w:val="109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Liver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FF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FF0000"/>
                <w:kern w:val="0"/>
                <w:szCs w:val="20"/>
              </w:rPr>
              <w:t>Multifocal microfoci (inflammation), calicification and necrosis</w:t>
            </w:r>
          </w:p>
        </w:tc>
      </w:tr>
      <w:tr w:rsidR="00566E12" w:rsidRPr="00C118A9" w:rsidTr="00566E12">
        <w:trPr>
          <w:trHeight w:val="31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Kidney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Calcification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calcification</w:t>
            </w:r>
          </w:p>
        </w:tc>
      </w:tr>
      <w:tr w:rsidR="00566E12" w:rsidRPr="00C118A9" w:rsidTr="00566E12">
        <w:trPr>
          <w:trHeight w:val="109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Stomach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Calcification,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Cystic dilatation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(very severe)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FF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FF0000"/>
                <w:kern w:val="0"/>
                <w:szCs w:val="20"/>
              </w:rPr>
              <w:t>Calcification,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FF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FF0000"/>
                <w:kern w:val="0"/>
                <w:szCs w:val="20"/>
              </w:rPr>
              <w:t>Lymphocytic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FF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FF0000"/>
                <w:kern w:val="0"/>
                <w:szCs w:val="20"/>
              </w:rPr>
              <w:t xml:space="preserve">inflammation in 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FF0000"/>
                <w:kern w:val="0"/>
                <w:szCs w:val="20"/>
              </w:rPr>
              <w:t>lamina propria</w:t>
            </w: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66E12" w:rsidRPr="00C118A9" w:rsidTr="00566E12">
        <w:trPr>
          <w:trHeight w:val="1353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Spleen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Normal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White pulp atrophy,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FF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reduction of cellularity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60006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600060"/>
                <w:kern w:val="0"/>
                <w:szCs w:val="20"/>
              </w:rPr>
              <w:t>Extracellular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60006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600060"/>
                <w:kern w:val="0"/>
                <w:szCs w:val="20"/>
              </w:rPr>
              <w:t>hematopoiesis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60006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600060"/>
                <w:kern w:val="0"/>
                <w:szCs w:val="20"/>
              </w:rPr>
              <w:t>(megakaryocyte number increased)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Megakaryocyte number increased significantly,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00"/>
                <w:kern w:val="0"/>
                <w:szCs w:val="20"/>
              </w:rPr>
              <w:t>WP atrophy</w:t>
            </w:r>
          </w:p>
          <w:p w:rsidR="00566E12" w:rsidRPr="00C118A9" w:rsidRDefault="00566E12" w:rsidP="00566E1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C118A9">
              <w:rPr>
                <w:rFonts w:ascii="Times New Roman" w:eastAsia="Batang" w:hAnsi="Times New Roman" w:cs="Times New Roman"/>
                <w:color w:val="0000FF"/>
                <w:kern w:val="0"/>
                <w:szCs w:val="20"/>
              </w:rPr>
              <w:t>reduction of cellularity</w:t>
            </w:r>
          </w:p>
        </w:tc>
      </w:tr>
    </w:tbl>
    <w:p w:rsidR="00C118A9" w:rsidRDefault="00EB42FF" w:rsidP="00C118A9">
      <w:pPr>
        <w:widowControl/>
        <w:wordWrap/>
        <w:autoSpaceDE/>
        <w:autoSpaceDN/>
        <w:spacing w:after="0" w:line="200" w:lineRule="atLeast"/>
        <w:rPr>
          <w:rFonts w:ascii="Calibri" w:eastAsia="Times New Roman" w:hAnsi="Calibri" w:cs="Calibri"/>
          <w:b/>
          <w:kern w:val="0"/>
          <w:sz w:val="22"/>
          <w:lang w:eastAsia="en-US"/>
        </w:rPr>
      </w:pP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>Supplementary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 xml:space="preserve"> T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 xml:space="preserve">able S1. 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>Histologic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>al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 xml:space="preserve"> change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>s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 xml:space="preserve"> in 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 xml:space="preserve">the 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>tissue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>s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 xml:space="preserve"> of SAMP1/kl</w:t>
      </w:r>
      <w:r w:rsidRPr="00EB42FF">
        <w:rPr>
          <w:rFonts w:ascii="Calibri" w:eastAsia="Times New Roman" w:hAnsi="Calibri" w:cs="Calibri"/>
          <w:b/>
          <w:kern w:val="0"/>
          <w:sz w:val="22"/>
          <w:lang w:eastAsia="en-US"/>
        </w:rPr>
        <w:t xml:space="preserve"> </w:t>
      </w:r>
      <w:r w:rsidRPr="00EB42FF">
        <w:rPr>
          <w:rFonts w:ascii="Calibri" w:eastAsia="Times New Roman" w:hAnsi="Calibri" w:cs="Calibri" w:hint="eastAsia"/>
          <w:b/>
          <w:kern w:val="0"/>
          <w:sz w:val="22"/>
          <w:lang w:eastAsia="en-US"/>
        </w:rPr>
        <w:t>deficient mice.</w:t>
      </w:r>
      <w:bookmarkStart w:id="0" w:name="_GoBack"/>
      <w:bookmarkEnd w:id="0"/>
    </w:p>
    <w:sectPr w:rsidR="00C118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88" w:rsidRDefault="001B0088" w:rsidP="00ED18F4">
      <w:pPr>
        <w:spacing w:after="0" w:line="240" w:lineRule="auto"/>
      </w:pPr>
      <w:r>
        <w:separator/>
      </w:r>
    </w:p>
  </w:endnote>
  <w:endnote w:type="continuationSeparator" w:id="0">
    <w:p w:rsidR="001B0088" w:rsidRDefault="001B0088" w:rsidP="00ED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88" w:rsidRDefault="001B0088" w:rsidP="00ED18F4">
      <w:pPr>
        <w:spacing w:after="0" w:line="240" w:lineRule="auto"/>
      </w:pPr>
      <w:r>
        <w:separator/>
      </w:r>
    </w:p>
  </w:footnote>
  <w:footnote w:type="continuationSeparator" w:id="0">
    <w:p w:rsidR="001B0088" w:rsidRDefault="001B0088" w:rsidP="00ED1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E12"/>
    <w:rsid w:val="001B0088"/>
    <w:rsid w:val="00566E12"/>
    <w:rsid w:val="005D2911"/>
    <w:rsid w:val="00BD1F59"/>
    <w:rsid w:val="00C118A9"/>
    <w:rsid w:val="00EB42FF"/>
    <w:rsid w:val="00E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470E7"/>
  <w15:docId w15:val="{98601B5A-8E15-4BFB-983B-55EB46A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66E12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8F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D18F4"/>
  </w:style>
  <w:style w:type="paragraph" w:styleId="Footer">
    <w:name w:val="footer"/>
    <w:basedOn w:val="Normal"/>
    <w:link w:val="FooterChar"/>
    <w:uiPriority w:val="99"/>
    <w:unhideWhenUsed/>
    <w:rsid w:val="00ED18F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D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ahnsg</dc:creator>
  <cp:lastModifiedBy>Lenchik</cp:lastModifiedBy>
  <cp:revision>2</cp:revision>
  <dcterms:created xsi:type="dcterms:W3CDTF">2018-09-13T16:50:00Z</dcterms:created>
  <dcterms:modified xsi:type="dcterms:W3CDTF">2018-09-13T16:50:00Z</dcterms:modified>
</cp:coreProperties>
</file>