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33D" w:rsidRPr="00197F06" w:rsidRDefault="0009433D" w:rsidP="0009433D">
      <w:pPr>
        <w:widowControl/>
        <w:wordWrap/>
        <w:spacing w:line="480" w:lineRule="auto"/>
        <w:jc w:val="left"/>
        <w:rPr>
          <w:rFonts w:ascii="Times New Roman" w:hAnsi="Times New Roman" w:cs="Times New Roman"/>
          <w:b/>
          <w:sz w:val="24"/>
          <w:szCs w:val="24"/>
        </w:rPr>
      </w:pPr>
      <w:r w:rsidRPr="00197F06">
        <w:rPr>
          <w:rFonts w:ascii="Times New Roman" w:hAnsi="Times New Roman" w:cs="Times New Roman" w:hint="eastAsia"/>
          <w:b/>
          <w:sz w:val="24"/>
          <w:szCs w:val="24"/>
        </w:rPr>
        <w:t xml:space="preserve">Supplementary </w:t>
      </w:r>
      <w:r w:rsidRPr="00197F06">
        <w:rPr>
          <w:rFonts w:ascii="Times New Roman" w:hAnsi="Times New Roman" w:cs="Times New Roman"/>
          <w:b/>
          <w:sz w:val="24"/>
          <w:szCs w:val="24"/>
        </w:rPr>
        <w:t xml:space="preserve">Table </w:t>
      </w:r>
      <w:r w:rsidRPr="00197F06">
        <w:rPr>
          <w:rFonts w:ascii="Times New Roman" w:hAnsi="Times New Roman" w:cs="Times New Roman" w:hint="eastAsia"/>
          <w:b/>
          <w:sz w:val="24"/>
          <w:szCs w:val="24"/>
        </w:rPr>
        <w:t>2</w:t>
      </w:r>
      <w:r w:rsidRPr="00197F06">
        <w:rPr>
          <w:rFonts w:ascii="Times New Roman" w:hAnsi="Times New Roman" w:cs="Times New Roman"/>
          <w:b/>
          <w:sz w:val="24"/>
          <w:szCs w:val="24"/>
        </w:rPr>
        <w:t>. Definitions of outcomes and variables</w:t>
      </w:r>
      <w:r w:rsidR="008316A3">
        <w:rPr>
          <w:rFonts w:ascii="Times New Roman" w:hAnsi="Times New Roman" w:cs="Times New Roman"/>
          <w:b/>
          <w:sz w:val="24"/>
          <w:szCs w:val="24"/>
        </w:rPr>
        <w:t>.</w:t>
      </w: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21"/>
      </w:tblGrid>
      <w:tr w:rsidR="0009433D" w:rsidRPr="00197F06" w:rsidTr="00437487">
        <w:tc>
          <w:tcPr>
            <w:tcW w:w="4395" w:type="dxa"/>
            <w:tcBorders>
              <w:top w:val="single" w:sz="4" w:space="0" w:color="auto"/>
              <w:bottom w:val="single" w:sz="4" w:space="0" w:color="auto"/>
            </w:tcBorders>
          </w:tcPr>
          <w:p w:rsidR="0009433D" w:rsidRPr="00197F06" w:rsidRDefault="0009433D" w:rsidP="00437487">
            <w:pPr>
              <w:widowControl/>
              <w:wordWrap/>
              <w:spacing w:line="480" w:lineRule="auto"/>
              <w:jc w:val="left"/>
              <w:rPr>
                <w:rFonts w:ascii="Times New Roman" w:hAnsi="Times New Roman" w:cs="Times New Roman"/>
                <w:sz w:val="24"/>
                <w:szCs w:val="24"/>
              </w:rPr>
            </w:pPr>
          </w:p>
        </w:tc>
        <w:tc>
          <w:tcPr>
            <w:tcW w:w="4621" w:type="dxa"/>
            <w:tcBorders>
              <w:top w:val="single" w:sz="4" w:space="0" w:color="auto"/>
              <w:bottom w:val="single" w:sz="4" w:space="0" w:color="auto"/>
            </w:tcBorders>
          </w:tcPr>
          <w:p w:rsidR="0009433D" w:rsidRPr="00197F06" w:rsidRDefault="0009433D" w:rsidP="00437487">
            <w:pPr>
              <w:widowControl/>
              <w:wordWrap/>
              <w:spacing w:line="480" w:lineRule="auto"/>
              <w:jc w:val="left"/>
              <w:rPr>
                <w:rFonts w:ascii="Times New Roman" w:hAnsi="Times New Roman" w:cs="Times New Roman"/>
                <w:b/>
                <w:sz w:val="24"/>
                <w:szCs w:val="24"/>
              </w:rPr>
            </w:pPr>
            <w:r w:rsidRPr="00197F06">
              <w:rPr>
                <w:rFonts w:ascii="Times New Roman" w:hAnsi="Times New Roman" w:cs="Times New Roman"/>
                <w:b/>
                <w:sz w:val="24"/>
                <w:szCs w:val="24"/>
              </w:rPr>
              <w:t>Definitions</w:t>
            </w:r>
          </w:p>
        </w:tc>
      </w:tr>
      <w:tr w:rsidR="0009433D" w:rsidRPr="00197F06" w:rsidTr="00437487">
        <w:tc>
          <w:tcPr>
            <w:tcW w:w="4395" w:type="dxa"/>
            <w:tcBorders>
              <w:top w:val="single" w:sz="4" w:space="0" w:color="auto"/>
            </w:tcBorders>
            <w:vAlign w:val="center"/>
          </w:tcPr>
          <w:p w:rsidR="0009433D" w:rsidRPr="00197F06" w:rsidRDefault="0009433D" w:rsidP="00437487">
            <w:pPr>
              <w:widowControl/>
              <w:wordWrap/>
              <w:spacing w:line="480" w:lineRule="auto"/>
              <w:jc w:val="left"/>
              <w:rPr>
                <w:rFonts w:ascii="Times New Roman" w:hAnsi="Times New Roman" w:cs="Times New Roman"/>
                <w:b/>
                <w:color w:val="000000"/>
                <w:sz w:val="24"/>
                <w:szCs w:val="24"/>
              </w:rPr>
            </w:pPr>
            <w:r w:rsidRPr="00197F06">
              <w:rPr>
                <w:rFonts w:ascii="Times New Roman" w:hAnsi="Times New Roman" w:cs="Times New Roman"/>
                <w:b/>
                <w:color w:val="000000"/>
                <w:sz w:val="24"/>
                <w:szCs w:val="24"/>
              </w:rPr>
              <w:t>Secondary outcomes</w:t>
            </w:r>
          </w:p>
        </w:tc>
        <w:tc>
          <w:tcPr>
            <w:tcW w:w="4621" w:type="dxa"/>
            <w:tcBorders>
              <w:top w:val="single" w:sz="4" w:space="0" w:color="auto"/>
            </w:tcBorders>
            <w:vAlign w:val="center"/>
          </w:tcPr>
          <w:p w:rsidR="0009433D" w:rsidRPr="00197F06" w:rsidRDefault="0009433D" w:rsidP="00437487">
            <w:pPr>
              <w:widowControl/>
              <w:wordWrap/>
              <w:spacing w:line="480" w:lineRule="auto"/>
              <w:jc w:val="left"/>
              <w:rPr>
                <w:rFonts w:ascii="Times New Roman" w:hAnsi="Times New Roman" w:cs="Times New Roman"/>
                <w:color w:val="000000"/>
                <w:sz w:val="24"/>
                <w:szCs w:val="24"/>
              </w:rPr>
            </w:pPr>
          </w:p>
        </w:tc>
      </w:tr>
      <w:tr w:rsidR="0009433D" w:rsidRPr="00197F06" w:rsidTr="00437487">
        <w:tc>
          <w:tcPr>
            <w:tcW w:w="4395" w:type="dxa"/>
            <w:vAlign w:val="center"/>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color w:val="000000"/>
                <w:sz w:val="24"/>
                <w:szCs w:val="24"/>
              </w:rPr>
              <w:t>In-hospital death</w:t>
            </w:r>
          </w:p>
        </w:tc>
        <w:tc>
          <w:tcPr>
            <w:tcW w:w="4621" w:type="dxa"/>
            <w:vAlign w:val="center"/>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color w:val="000000"/>
                <w:sz w:val="24"/>
                <w:szCs w:val="24"/>
              </w:rPr>
              <w:t>All-cause death during the hospital stay or within postoperative day 30 [1]</w:t>
            </w:r>
          </w:p>
        </w:tc>
      </w:tr>
      <w:tr w:rsidR="0009433D" w:rsidRPr="00197F06" w:rsidTr="00437487">
        <w:tc>
          <w:tcPr>
            <w:tcW w:w="4395" w:type="dxa"/>
            <w:vAlign w:val="center"/>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eastAsiaTheme="minorHAnsi" w:hAnsi="Times New Roman" w:cs="Times New Roman"/>
                <w:sz w:val="24"/>
                <w:szCs w:val="24"/>
              </w:rPr>
              <w:t>Prolonged hospital length of stay</w:t>
            </w:r>
          </w:p>
        </w:tc>
        <w:tc>
          <w:tcPr>
            <w:tcW w:w="4621" w:type="dxa"/>
            <w:vAlign w:val="center"/>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color w:val="000000"/>
                <w:sz w:val="24"/>
                <w:szCs w:val="24"/>
              </w:rPr>
              <w:t>Length of hospital stay &gt;14 days [1]</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eastAsiaTheme="minorHAnsi" w:hAnsi="Times New Roman" w:cs="Times New Roman"/>
                <w:sz w:val="24"/>
                <w:szCs w:val="24"/>
              </w:rPr>
              <w:t>Major adverse cardiovascular events</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Cardiac arrest, myocardial infarction, low cardiac output syndrome, use of mechanical assist devices, readmission due to heart failure, ventricular tachycardia, or ventricular fibrillation within postoperative day 30</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eastAsiaTheme="minorHAnsi" w:hAnsi="Times New Roman" w:cs="Times New Roman"/>
                <w:sz w:val="24"/>
                <w:szCs w:val="24"/>
              </w:rPr>
            </w:pPr>
            <w:r w:rsidRPr="00197F06">
              <w:rPr>
                <w:rFonts w:ascii="Times New Roman" w:eastAsiaTheme="minorHAnsi" w:hAnsi="Times New Roman" w:cs="Times New Roman"/>
                <w:sz w:val="24"/>
                <w:szCs w:val="24"/>
              </w:rPr>
              <w:t>Pulmonary complications</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 xml:space="preserve">Mechanical ventilation ≥48 hours, unplanned re-intubation, pneumonia, or acute lung injury within postoperative day 30 </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eastAsiaTheme="minorHAnsi" w:hAnsi="Times New Roman" w:cs="Times New Roman"/>
                <w:sz w:val="24"/>
                <w:szCs w:val="24"/>
              </w:rPr>
              <w:t>Acute kidney injury</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Acute kidney injury according to KDIGO (Kidney Disease Improving Global Outcomes) criteria stage ≥2 within postoperative day 30 [2]</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eastAsiaTheme="minorHAnsi" w:hAnsi="Times New Roman" w:cs="Times New Roman"/>
                <w:sz w:val="24"/>
                <w:szCs w:val="24"/>
              </w:rPr>
            </w:pPr>
            <w:r w:rsidRPr="00197F06">
              <w:rPr>
                <w:rFonts w:ascii="Times New Roman" w:eastAsiaTheme="minorHAnsi" w:hAnsi="Times New Roman" w:cs="Times New Roman"/>
                <w:sz w:val="24"/>
                <w:szCs w:val="24"/>
              </w:rPr>
              <w:t>Stroke</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Ischemic stroke as defined by the Neurologic Academic Research Consortium (NeuroARC) class Ia within postoperative day 30 [3]</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eastAsiaTheme="minorHAnsi" w:hAnsi="Times New Roman" w:cs="Times New Roman"/>
                <w:sz w:val="24"/>
                <w:szCs w:val="24"/>
              </w:rPr>
            </w:pPr>
            <w:r w:rsidRPr="00197F06">
              <w:rPr>
                <w:rFonts w:ascii="Times New Roman" w:eastAsiaTheme="minorHAnsi" w:hAnsi="Times New Roman" w:cs="Times New Roman"/>
                <w:sz w:val="24"/>
                <w:szCs w:val="24"/>
              </w:rPr>
              <w:t>Gastrointestinal complications</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 xml:space="preserve">Abdominal organ ischemia, acute hepatitis/pancreatitis/cholecystitis, intestinal </w:t>
            </w:r>
            <w:r w:rsidRPr="00197F06">
              <w:rPr>
                <w:rFonts w:ascii="Times New Roman" w:hAnsi="Times New Roman" w:cs="Times New Roman"/>
                <w:sz w:val="24"/>
                <w:szCs w:val="24"/>
              </w:rPr>
              <w:lastRenderedPageBreak/>
              <w:t xml:space="preserve">perforation/bleeding, and bowel obstruction within postoperative day 30 </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eastAsiaTheme="minorHAnsi" w:hAnsi="Times New Roman" w:cs="Times New Roman"/>
                <w:sz w:val="24"/>
                <w:szCs w:val="24"/>
              </w:rPr>
            </w:pPr>
            <w:r w:rsidRPr="00197F06">
              <w:rPr>
                <w:rFonts w:ascii="Times New Roman" w:eastAsiaTheme="minorHAnsi" w:hAnsi="Times New Roman" w:cs="Times New Roman"/>
                <w:b/>
                <w:sz w:val="24"/>
                <w:szCs w:val="24"/>
              </w:rPr>
              <w:lastRenderedPageBreak/>
              <w:t>Variables</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eastAsiaTheme="minorHAnsi" w:hAnsi="Times New Roman" w:cs="Times New Roman"/>
                <w:sz w:val="24"/>
                <w:szCs w:val="24"/>
              </w:rPr>
            </w:pPr>
            <w:r w:rsidRPr="00197F06">
              <w:rPr>
                <w:rFonts w:ascii="Times New Roman" w:hAnsi="Times New Roman" w:cs="Times New Roman"/>
                <w:sz w:val="24"/>
                <w:szCs w:val="24"/>
              </w:rPr>
              <w:t>Age (years)</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color w:val="000000"/>
                <w:sz w:val="24"/>
                <w:szCs w:val="24"/>
              </w:rPr>
              <w:t>Age of patients at the time of surgery</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eastAsiaTheme="minorHAnsi" w:hAnsi="Times New Roman" w:cs="Times New Roman"/>
                <w:b/>
                <w:sz w:val="24"/>
                <w:szCs w:val="24"/>
              </w:rPr>
            </w:pPr>
            <w:r w:rsidRPr="00197F06">
              <w:rPr>
                <w:rFonts w:ascii="Times New Roman" w:hAnsi="Times New Roman" w:cs="Times New Roman"/>
                <w:sz w:val="24"/>
                <w:szCs w:val="24"/>
              </w:rPr>
              <w:t>Female sex</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color w:val="000000"/>
                <w:sz w:val="24"/>
                <w:szCs w:val="24"/>
              </w:rPr>
              <w:t>Number of female sex patients</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eastAsiaTheme="minorHAnsi" w:hAnsi="Times New Roman" w:cs="Times New Roman"/>
                <w:b/>
                <w:sz w:val="24"/>
                <w:szCs w:val="24"/>
              </w:rPr>
            </w:pPr>
            <w:r w:rsidRPr="00197F06">
              <w:rPr>
                <w:rFonts w:ascii="Times New Roman" w:hAnsi="Times New Roman" w:cs="Times New Roman"/>
                <w:sz w:val="24"/>
                <w:szCs w:val="24"/>
              </w:rPr>
              <w:t>Body mass index (kg/m</w:t>
            </w:r>
            <w:r w:rsidRPr="00197F06">
              <w:rPr>
                <w:rFonts w:ascii="Times New Roman" w:hAnsi="Times New Roman" w:cs="Times New Roman"/>
                <w:sz w:val="24"/>
                <w:szCs w:val="24"/>
                <w:vertAlign w:val="superscript"/>
              </w:rPr>
              <w:t>2</w:t>
            </w:r>
            <w:r w:rsidRPr="00197F06">
              <w:rPr>
                <w:rFonts w:ascii="Times New Roman" w:hAnsi="Times New Roman" w:cs="Times New Roman"/>
                <w:sz w:val="24"/>
                <w:szCs w:val="24"/>
              </w:rPr>
              <w:t>)</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eastAsia="Malgun Gothic" w:hAnsi="Times New Roman" w:cs="Times New Roman"/>
                <w:color w:val="000000"/>
                <w:sz w:val="24"/>
                <w:szCs w:val="24"/>
              </w:rPr>
              <w:t>Body mass divided by the square of the body height</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Diabetes mellitus</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color w:val="000000"/>
                <w:sz w:val="24"/>
                <w:szCs w:val="24"/>
              </w:rPr>
              <w:t>Diabetes mellitus requiring oral medication or insulin</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Hypertension</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eastAsia="Malgun Gothic" w:hAnsi="Times New Roman" w:cs="Times New Roman"/>
                <w:color w:val="000000"/>
                <w:sz w:val="24"/>
                <w:szCs w:val="24"/>
              </w:rPr>
              <w:t>Hypertension requiring anti-hypertensive medication</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Dyslipidemia</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eastAsia="Malgun Gothic" w:hAnsi="Times New Roman" w:cs="Times New Roman"/>
                <w:color w:val="000000"/>
                <w:sz w:val="24"/>
                <w:szCs w:val="24"/>
              </w:rPr>
              <w:t>Dyslipidemia requiring lipid-lowering medication or preoperative low-density lipoprotein 100 mg/dL or higher</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Congestive heart failure</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Symptomatic congestive heart failure</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Coronary revascularization</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History of coronary artery bypass or percutaneous coronary intervention</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Liver disease</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Liver cirrhosis of any cause, chronic viral hepatitis, toxic hepatitis, non-alcoholic fatty liver disease</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Alcohol</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Alcohol &gt;2 drinks/day in 2 weeks before admission (according to American College of Surgeons National Surgical Quality Improvement Program) [4]</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lastRenderedPageBreak/>
              <w:t>Acute coronary syndrome</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 xml:space="preserve">Acute myocardial infarction within two weeks before surgery or resting chest pain at the time of surgery </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Atrial fibrillation</w:t>
            </w:r>
          </w:p>
        </w:tc>
        <w:tc>
          <w:tcPr>
            <w:tcW w:w="4621" w:type="dxa"/>
          </w:tcPr>
          <w:p w:rsidR="0009433D" w:rsidRPr="00197F06" w:rsidRDefault="0009433D" w:rsidP="00437487">
            <w:pPr>
              <w:widowControl/>
              <w:wordWrap/>
              <w:spacing w:line="480" w:lineRule="auto"/>
              <w:jc w:val="left"/>
              <w:rPr>
                <w:rFonts w:ascii="Times New Roman" w:eastAsia="Malgun Gothic" w:hAnsi="Times New Roman" w:cs="Times New Roman"/>
                <w:color w:val="000000"/>
                <w:sz w:val="24"/>
                <w:szCs w:val="24"/>
              </w:rPr>
            </w:pPr>
            <w:r w:rsidRPr="00197F06">
              <w:rPr>
                <w:rFonts w:ascii="Times New Roman" w:hAnsi="Times New Roman" w:cs="Times New Roman"/>
                <w:sz w:val="24"/>
                <w:szCs w:val="24"/>
              </w:rPr>
              <w:t xml:space="preserve">Persistent or paroxysmal atrial fibrillation/flutter </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EuroSCORE (logistic)</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eastAsia="Malgun Gothic" w:hAnsi="Times New Roman" w:cs="Times New Roman"/>
                <w:color w:val="000000"/>
                <w:sz w:val="24"/>
                <w:szCs w:val="24"/>
              </w:rPr>
              <w:t xml:space="preserve">Predicted mortality according to the </w:t>
            </w:r>
            <w:r w:rsidRPr="00197F06">
              <w:rPr>
                <w:rFonts w:ascii="Times New Roman" w:hAnsi="Times New Roman" w:cs="Times New Roman"/>
                <w:sz w:val="24"/>
                <w:szCs w:val="24"/>
              </w:rPr>
              <w:t>logistic regression model of EuroSCORE [5]</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MELD Xi</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Model for End-stage Liver Disease eXcluding INR score [6]</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Ejection fraction (%)</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Ejection fraction on preoperative echocardiography</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Pulmonary hypertension</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Mean pulmonary artery pressure ≥25 mmHg assessed by right heart catheterization, peak tricuspid regurgitation</w:t>
            </w:r>
            <w:r w:rsidRPr="00197F06" w:rsidDel="009E6B20">
              <w:rPr>
                <w:rFonts w:ascii="Times New Roman" w:hAnsi="Times New Roman" w:cs="Times New Roman"/>
                <w:sz w:val="24"/>
                <w:szCs w:val="24"/>
              </w:rPr>
              <w:t xml:space="preserve"> </w:t>
            </w:r>
            <w:r w:rsidRPr="00197F06">
              <w:rPr>
                <w:rFonts w:ascii="Times New Roman" w:hAnsi="Times New Roman" w:cs="Times New Roman"/>
                <w:sz w:val="24"/>
                <w:szCs w:val="24"/>
              </w:rPr>
              <w:t>velocity ≥2.9 m/s or early diastolic pulmonary regurgitation</w:t>
            </w:r>
            <w:r w:rsidRPr="00197F06" w:rsidDel="009E6B20">
              <w:rPr>
                <w:rFonts w:ascii="Times New Roman" w:hAnsi="Times New Roman" w:cs="Times New Roman"/>
                <w:sz w:val="24"/>
                <w:szCs w:val="24"/>
              </w:rPr>
              <w:t xml:space="preserve"> </w:t>
            </w:r>
            <w:r w:rsidRPr="00197F06">
              <w:rPr>
                <w:rFonts w:ascii="Times New Roman" w:hAnsi="Times New Roman" w:cs="Times New Roman"/>
                <w:sz w:val="24"/>
                <w:szCs w:val="24"/>
              </w:rPr>
              <w:t>velocity &gt;2.2 m/s on preoperative echocardiography [7]</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Hematocrit (%)</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Preoperative hematocrit</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Creatinine (mg/dL)</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Preoperative serum creatinine</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eGFR (mL/min/1.73 m</w:t>
            </w:r>
            <w:r w:rsidRPr="00197F06">
              <w:rPr>
                <w:rFonts w:ascii="Times New Roman" w:hAnsi="Times New Roman" w:cs="Times New Roman"/>
                <w:sz w:val="24"/>
                <w:szCs w:val="24"/>
                <w:vertAlign w:val="superscript"/>
              </w:rPr>
              <w:t>2</w:t>
            </w:r>
            <w:r w:rsidRPr="00197F06">
              <w:rPr>
                <w:rFonts w:ascii="Times New Roman" w:hAnsi="Times New Roman" w:cs="Times New Roman"/>
                <w:sz w:val="24"/>
                <w:szCs w:val="24"/>
              </w:rPr>
              <w:t>)</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Estimated glomerular filtration rate according to Chronic Kidney Disease Epidemiology Collaboration (CKD-EPI) Equation [8]</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Albumin (g/dL)</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Preoperative serum albumin</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Bilirubin (mg/dL)</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Preoperative serum total bilirubin</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lastRenderedPageBreak/>
              <w:t>Sodium (mmol/L)</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Preoperative serum sodium</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Uric acid (mg/dL)</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Preoperative serum uric acid</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C-reactive protein (mg/dL)</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Preoperative serum C-reactive protein</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ACEI or ARB</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eastAsia="Malgun Gothic" w:hAnsi="Times New Roman" w:cs="Times New Roman"/>
                <w:color w:val="000000"/>
                <w:sz w:val="24"/>
                <w:szCs w:val="24"/>
              </w:rPr>
              <w:t>Patients with ACEI or ARB medications</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Beta blocker</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eastAsia="Malgun Gothic" w:hAnsi="Times New Roman" w:cs="Times New Roman"/>
                <w:color w:val="000000"/>
                <w:sz w:val="24"/>
                <w:szCs w:val="24"/>
              </w:rPr>
              <w:t>Patients with beta blocker medications</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Calcium channel blocker</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eastAsia="Malgun Gothic" w:hAnsi="Times New Roman" w:cs="Times New Roman"/>
                <w:color w:val="000000"/>
                <w:sz w:val="24"/>
                <w:szCs w:val="24"/>
              </w:rPr>
              <w:t>Patients with calcium channel blocker medications</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Diuretics</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eastAsia="Malgun Gothic" w:hAnsi="Times New Roman" w:cs="Times New Roman"/>
                <w:color w:val="000000"/>
                <w:sz w:val="24"/>
                <w:szCs w:val="24"/>
              </w:rPr>
              <w:t>Patients with diuretics medications</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Statin</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eastAsia="Malgun Gothic" w:hAnsi="Times New Roman" w:cs="Times New Roman"/>
                <w:color w:val="000000"/>
                <w:sz w:val="24"/>
                <w:szCs w:val="24"/>
              </w:rPr>
              <w:t>Patients with statin medications</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Insulin</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eastAsia="Malgun Gothic" w:hAnsi="Times New Roman" w:cs="Times New Roman"/>
                <w:color w:val="000000"/>
                <w:sz w:val="24"/>
                <w:szCs w:val="24"/>
              </w:rPr>
              <w:t>Patients with insulin medications</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Inotropes/vasopressors</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Preoperative inotropes or vasopressors use</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Type of surgery</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Types of cardiovascular surgery; coronary artery bypass graft, isolated cardiac valve surgery, other intracardiac surgery, thoracic aortic surgery, or combined procedure of the above operations</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Urgent surgery</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Patients not electively admitted for operation but who require intervention or surgery on the current admission for medical reasons [9]</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eastAsia="BatangChe" w:hAnsi="Times New Roman" w:cs="Times New Roman"/>
                <w:sz w:val="24"/>
                <w:szCs w:val="24"/>
              </w:rPr>
              <w:t>Off-pump surgery</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Surgery without cardiopulmonary bypass</w:t>
            </w:r>
          </w:p>
        </w:tc>
      </w:tr>
      <w:tr w:rsidR="0009433D" w:rsidRPr="00197F06" w:rsidTr="00437487">
        <w:tc>
          <w:tcPr>
            <w:tcW w:w="4395" w:type="dxa"/>
          </w:tcPr>
          <w:p w:rsidR="0009433D" w:rsidRPr="00197F06" w:rsidRDefault="0009433D" w:rsidP="00437487">
            <w:pPr>
              <w:widowControl/>
              <w:wordWrap/>
              <w:spacing w:line="480" w:lineRule="auto"/>
              <w:jc w:val="left"/>
              <w:rPr>
                <w:rFonts w:ascii="Times New Roman" w:eastAsia="BatangChe" w:hAnsi="Times New Roman" w:cs="Times New Roman"/>
                <w:sz w:val="24"/>
                <w:szCs w:val="24"/>
              </w:rPr>
            </w:pPr>
            <w:r w:rsidRPr="00197F06">
              <w:rPr>
                <w:rFonts w:ascii="Times New Roman" w:eastAsia="Malgun Gothic" w:hAnsi="Times New Roman" w:cs="Times New Roman"/>
                <w:kern w:val="0"/>
                <w:sz w:val="24"/>
                <w:szCs w:val="24"/>
              </w:rPr>
              <w:t>Operation time (min)</w:t>
            </w:r>
          </w:p>
        </w:tc>
        <w:tc>
          <w:tcPr>
            <w:tcW w:w="4621" w:type="dxa"/>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Duration of operation</w:t>
            </w:r>
          </w:p>
        </w:tc>
      </w:tr>
      <w:tr w:rsidR="0009433D" w:rsidRPr="00197F06" w:rsidTr="00437487">
        <w:tc>
          <w:tcPr>
            <w:tcW w:w="4395" w:type="dxa"/>
            <w:tcBorders>
              <w:bottom w:val="single" w:sz="4" w:space="0" w:color="auto"/>
            </w:tcBorders>
          </w:tcPr>
          <w:p w:rsidR="0009433D" w:rsidRPr="00197F06" w:rsidRDefault="0009433D" w:rsidP="00437487">
            <w:pPr>
              <w:widowControl/>
              <w:wordWrap/>
              <w:spacing w:line="480" w:lineRule="auto"/>
              <w:jc w:val="left"/>
              <w:rPr>
                <w:rFonts w:ascii="Times New Roman" w:eastAsia="Malgun Gothic" w:hAnsi="Times New Roman" w:cs="Times New Roman"/>
                <w:kern w:val="0"/>
                <w:sz w:val="24"/>
                <w:szCs w:val="24"/>
              </w:rPr>
            </w:pPr>
            <w:r w:rsidRPr="00197F06">
              <w:rPr>
                <w:rFonts w:ascii="Times New Roman" w:hAnsi="Times New Roman" w:cs="Times New Roman"/>
                <w:sz w:val="24"/>
                <w:szCs w:val="24"/>
              </w:rPr>
              <w:t>CPB time (min)</w:t>
            </w:r>
          </w:p>
        </w:tc>
        <w:tc>
          <w:tcPr>
            <w:tcW w:w="4621" w:type="dxa"/>
            <w:tcBorders>
              <w:bottom w:val="single" w:sz="4" w:space="0" w:color="auto"/>
            </w:tcBorders>
          </w:tcPr>
          <w:p w:rsidR="0009433D" w:rsidRPr="00197F06" w:rsidRDefault="0009433D" w:rsidP="00437487">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Duration of cardiopulmonary bypass</w:t>
            </w:r>
          </w:p>
        </w:tc>
      </w:tr>
    </w:tbl>
    <w:p w:rsidR="00FE59E5" w:rsidRDefault="0009433D" w:rsidP="0009433D">
      <w:pPr>
        <w:widowControl/>
        <w:wordWrap/>
        <w:spacing w:line="480" w:lineRule="auto"/>
        <w:jc w:val="left"/>
        <w:rPr>
          <w:rFonts w:ascii="Times New Roman" w:hAnsi="Times New Roman" w:cs="Times New Roman"/>
          <w:sz w:val="24"/>
          <w:szCs w:val="24"/>
        </w:rPr>
      </w:pPr>
      <w:r w:rsidRPr="00197F06">
        <w:rPr>
          <w:rFonts w:ascii="Times New Roman" w:hAnsi="Times New Roman" w:cs="Times New Roman"/>
          <w:sz w:val="24"/>
          <w:szCs w:val="24"/>
        </w:rPr>
        <w:t>EuroSCORE = The European System for Cardiac Operative Risk Evaluation; MELD Xi = Model for End-stage Liver Disease eXcluding INR; eGFR = estimated glomerular filtration rate; ACEI = angiotensin-converting enzyme inhibitor; ARB = angiotensin receptor blocker; CPB = Cardiopulmonary bypass.</w:t>
      </w:r>
    </w:p>
    <w:p w:rsidR="00133EB8" w:rsidRPr="00AB7AB0" w:rsidRDefault="00852B7E" w:rsidP="00AB7AB0">
      <w:pPr>
        <w:pStyle w:val="ListParagraph"/>
        <w:numPr>
          <w:ilvl w:val="0"/>
          <w:numId w:val="1"/>
        </w:numPr>
        <w:spacing w:after="0" w:line="240" w:lineRule="auto"/>
        <w:rPr>
          <w:rFonts w:ascii="Arial" w:eastAsia="Times New Roman" w:hAnsi="Arial" w:cs="Arial"/>
          <w:color w:val="000000"/>
          <w:sz w:val="21"/>
          <w:szCs w:val="21"/>
        </w:rPr>
      </w:pPr>
      <w:r w:rsidRPr="00AB7AB0">
        <w:rPr>
          <w:rFonts w:ascii="Arial" w:eastAsia="Times New Roman" w:hAnsi="Arial" w:cs="Arial"/>
          <w:color w:val="000000"/>
          <w:sz w:val="21"/>
          <w:szCs w:val="21"/>
        </w:rPr>
        <w:lastRenderedPageBreak/>
        <w:t>Shahian DM, Jacobs JP, Badhwar V, Kurlansky P</w:t>
      </w:r>
      <w:r w:rsidR="002E1DAF" w:rsidRPr="00AB7AB0">
        <w:rPr>
          <w:rFonts w:ascii="Arial" w:eastAsia="Times New Roman" w:hAnsi="Arial" w:cs="Arial"/>
          <w:color w:val="000000"/>
          <w:sz w:val="21"/>
          <w:szCs w:val="21"/>
        </w:rPr>
        <w:t>A, Furnary AP, Cleveland JC Jr</w:t>
      </w:r>
      <w:r w:rsidRPr="00AB7AB0">
        <w:rPr>
          <w:rFonts w:ascii="Arial" w:eastAsia="Times New Roman" w:hAnsi="Arial" w:cs="Arial"/>
          <w:color w:val="000000"/>
          <w:sz w:val="21"/>
          <w:szCs w:val="21"/>
        </w:rPr>
        <w:t>, Lobdell KW, Vassileva C, Wyler von Ballmoos MC, Thourani VH, Rankin JS, Edgerton JR, D'Agostino RS, et al. The Society of Thoracic Surgeons 2018 Adult Cardiac Surgery Risk Models: Part 1-Background, Design Considerations, and Model Development. The Annals of Thoracic Surgery. 2018; 105:1411</w:t>
      </w:r>
      <w:r w:rsidR="002E1DAF" w:rsidRPr="00AB7AB0">
        <w:rPr>
          <w:rFonts w:ascii="Arial" w:eastAsia="Times New Roman" w:hAnsi="Arial" w:cs="Arial"/>
          <w:color w:val="000000"/>
          <w:sz w:val="21"/>
          <w:szCs w:val="21"/>
        </w:rPr>
        <w:t>–</w:t>
      </w:r>
      <w:r w:rsidRPr="00AB7AB0">
        <w:rPr>
          <w:rFonts w:ascii="Arial" w:eastAsia="Times New Roman" w:hAnsi="Arial" w:cs="Arial"/>
          <w:color w:val="000000"/>
          <w:sz w:val="21"/>
          <w:szCs w:val="21"/>
        </w:rPr>
        <w:t>1418.</w:t>
      </w:r>
    </w:p>
    <w:p w:rsidR="00852B7E" w:rsidRPr="00AB7AB0" w:rsidRDefault="008316A3" w:rsidP="00AB7AB0">
      <w:pPr>
        <w:spacing w:after="0" w:line="240" w:lineRule="auto"/>
        <w:ind w:left="360" w:firstLine="360"/>
        <w:rPr>
          <w:rFonts w:ascii="Arial" w:eastAsia="Times New Roman" w:hAnsi="Arial" w:cs="Arial"/>
          <w:color w:val="000000"/>
          <w:sz w:val="21"/>
          <w:szCs w:val="21"/>
        </w:rPr>
      </w:pPr>
      <w:hyperlink r:id="rId6" w:tgtFrame="_blank" w:history="1">
        <w:r w:rsidR="00852B7E" w:rsidRPr="00AB7AB0">
          <w:rPr>
            <w:rFonts w:ascii="Arial" w:eastAsia="Times New Roman" w:hAnsi="Arial" w:cs="Arial"/>
            <w:color w:val="0000FF"/>
            <w:sz w:val="21"/>
            <w:szCs w:val="21"/>
            <w:u w:val="single"/>
          </w:rPr>
          <w:t>https://doi.org/10.1016/j.athoracsur.2018.03.002</w:t>
        </w:r>
      </w:hyperlink>
      <w:r w:rsidR="00ED7C70" w:rsidRPr="00AB7AB0">
        <w:rPr>
          <w:rFonts w:ascii="Arial" w:eastAsia="Times New Roman" w:hAnsi="Arial" w:cs="Arial"/>
          <w:color w:val="0000FF"/>
          <w:sz w:val="21"/>
          <w:szCs w:val="21"/>
        </w:rPr>
        <w:t xml:space="preserve"> </w:t>
      </w:r>
      <w:hyperlink r:id="rId7" w:history="1">
        <w:r w:rsidR="00AB7AB0" w:rsidRPr="00EC4903">
          <w:rPr>
            <w:rStyle w:val="Hyperlink"/>
            <w:rFonts w:ascii="Arial" w:eastAsia="Times New Roman" w:hAnsi="Arial" w:cs="Arial"/>
            <w:color w:val="auto"/>
            <w:sz w:val="21"/>
            <w:szCs w:val="21"/>
            <w:u w:val="none"/>
          </w:rPr>
          <w:t>PMID:</w:t>
        </w:r>
        <w:r w:rsidR="00852B7E" w:rsidRPr="00EC4903">
          <w:rPr>
            <w:rStyle w:val="Hyperlink"/>
            <w:rFonts w:ascii="Arial" w:eastAsia="Times New Roman" w:hAnsi="Arial" w:cs="Arial"/>
            <w:sz w:val="21"/>
            <w:szCs w:val="21"/>
          </w:rPr>
          <w:t>29577925</w:t>
        </w:r>
      </w:hyperlink>
    </w:p>
    <w:p w:rsidR="00ED7C70" w:rsidRPr="00AB7AB0" w:rsidRDefault="00852B7E" w:rsidP="00AB7AB0">
      <w:pPr>
        <w:pStyle w:val="ListParagraph"/>
        <w:numPr>
          <w:ilvl w:val="0"/>
          <w:numId w:val="1"/>
        </w:numPr>
        <w:spacing w:after="0" w:line="240" w:lineRule="auto"/>
        <w:rPr>
          <w:rFonts w:ascii="Arial" w:eastAsia="Times New Roman" w:hAnsi="Arial" w:cs="Arial"/>
          <w:color w:val="000000"/>
          <w:sz w:val="21"/>
          <w:szCs w:val="21"/>
        </w:rPr>
      </w:pPr>
      <w:r w:rsidRPr="00AB7AB0">
        <w:rPr>
          <w:rFonts w:ascii="Arial" w:eastAsia="Times New Roman" w:hAnsi="Arial" w:cs="Arial"/>
          <w:color w:val="000000"/>
          <w:sz w:val="21"/>
          <w:szCs w:val="21"/>
        </w:rPr>
        <w:t>Khwaja A. KDIGO Clinical Practice Guidelines for Acute Kidney Injury. Nephron</w:t>
      </w:r>
      <w:r w:rsidR="00AB7AB0">
        <w:rPr>
          <w:rFonts w:ascii="Arial" w:eastAsia="Times New Roman" w:hAnsi="Arial" w:cs="Arial"/>
          <w:color w:val="000000"/>
          <w:sz w:val="21"/>
          <w:szCs w:val="21"/>
        </w:rPr>
        <w:t xml:space="preserve"> Clinical Practice. 2012; 120</w:t>
      </w:r>
      <w:r w:rsidRPr="00AB7AB0">
        <w:rPr>
          <w:rFonts w:ascii="Arial" w:eastAsia="Times New Roman" w:hAnsi="Arial" w:cs="Arial"/>
          <w:color w:val="000000"/>
          <w:sz w:val="21"/>
          <w:szCs w:val="21"/>
        </w:rPr>
        <w:t>:c179</w:t>
      </w:r>
      <w:r w:rsidR="00AB7AB0">
        <w:rPr>
          <w:rFonts w:ascii="Arial" w:eastAsia="Times New Roman" w:hAnsi="Arial" w:cs="Arial"/>
          <w:color w:val="000000"/>
          <w:sz w:val="21"/>
          <w:szCs w:val="21"/>
        </w:rPr>
        <w:t>–</w:t>
      </w:r>
      <w:r w:rsidRPr="00AB7AB0">
        <w:rPr>
          <w:rFonts w:ascii="Arial" w:eastAsia="Times New Roman" w:hAnsi="Arial" w:cs="Arial"/>
          <w:color w:val="000000"/>
          <w:sz w:val="21"/>
          <w:szCs w:val="21"/>
        </w:rPr>
        <w:t xml:space="preserve">c184. </w:t>
      </w:r>
    </w:p>
    <w:p w:rsidR="00852B7E" w:rsidRPr="00AB7AB0" w:rsidRDefault="00AB7AB0" w:rsidP="00AB7AB0">
      <w:pPr>
        <w:spacing w:after="0" w:line="240" w:lineRule="auto"/>
        <w:ind w:left="360" w:firstLine="360"/>
        <w:rPr>
          <w:rFonts w:ascii="Arial" w:eastAsia="Times New Roman" w:hAnsi="Arial" w:cs="Arial"/>
          <w:color w:val="000000"/>
          <w:sz w:val="21"/>
          <w:szCs w:val="21"/>
        </w:rPr>
      </w:pPr>
      <w:hyperlink r:id="rId8" w:history="1">
        <w:r w:rsidRPr="0059316E">
          <w:rPr>
            <w:rStyle w:val="Hyperlink"/>
            <w:rFonts w:ascii="Arial" w:eastAsia="Times New Roman" w:hAnsi="Arial" w:cs="Arial"/>
            <w:sz w:val="21"/>
            <w:szCs w:val="21"/>
          </w:rPr>
          <w:t>https://doi.org/10.1159/000339789</w:t>
        </w:r>
      </w:hyperlink>
      <w:r w:rsidR="00ED7C70" w:rsidRPr="00AB7AB0">
        <w:rPr>
          <w:rFonts w:ascii="Arial" w:eastAsia="Times New Roman" w:hAnsi="Arial" w:cs="Arial"/>
          <w:color w:val="0000FF"/>
          <w:sz w:val="21"/>
          <w:szCs w:val="21"/>
        </w:rPr>
        <w:t xml:space="preserve"> </w:t>
      </w:r>
      <w:hyperlink r:id="rId9" w:history="1">
        <w:r w:rsidRPr="00BD2581">
          <w:rPr>
            <w:rStyle w:val="Hyperlink"/>
            <w:rFonts w:ascii="Arial" w:eastAsia="Times New Roman" w:hAnsi="Arial" w:cs="Arial"/>
            <w:color w:val="auto"/>
            <w:sz w:val="21"/>
            <w:szCs w:val="21"/>
            <w:u w:val="none"/>
          </w:rPr>
          <w:t>PMID:</w:t>
        </w:r>
        <w:r w:rsidR="00852B7E" w:rsidRPr="00BD2581">
          <w:rPr>
            <w:rStyle w:val="Hyperlink"/>
            <w:rFonts w:ascii="Arial" w:eastAsia="Times New Roman" w:hAnsi="Arial" w:cs="Arial"/>
            <w:sz w:val="21"/>
            <w:szCs w:val="21"/>
          </w:rPr>
          <w:t>22890468</w:t>
        </w:r>
      </w:hyperlink>
    </w:p>
    <w:p w:rsidR="00ED7C70" w:rsidRPr="00AB7AB0" w:rsidRDefault="00852B7E" w:rsidP="00AB7AB0">
      <w:pPr>
        <w:pStyle w:val="ListParagraph"/>
        <w:numPr>
          <w:ilvl w:val="0"/>
          <w:numId w:val="1"/>
        </w:numPr>
        <w:spacing w:after="0" w:line="240" w:lineRule="auto"/>
        <w:rPr>
          <w:rFonts w:ascii="Arial" w:eastAsia="Times New Roman" w:hAnsi="Arial" w:cs="Arial"/>
          <w:color w:val="000000"/>
          <w:sz w:val="21"/>
          <w:szCs w:val="21"/>
        </w:rPr>
      </w:pPr>
      <w:r w:rsidRPr="00AB7AB0">
        <w:rPr>
          <w:rFonts w:ascii="Arial" w:eastAsia="Times New Roman" w:hAnsi="Arial" w:cs="Arial"/>
          <w:color w:val="000000"/>
          <w:sz w:val="21"/>
          <w:szCs w:val="21"/>
        </w:rPr>
        <w:t>Lansky AJ, Messe SR, Brickman AM, Dwyer M, van der Worp HB, Lazar RM, Pietras CG, Abrams KJ, McFadden E, Petersen NH, Browndyke J, Prendergast B, Ng VG, et al. Proposed Standardized Neurological Endpoints for Cardiovascular Clinical Trials: An Academic Research Consortium Initiative. Journal of the American Co</w:t>
      </w:r>
      <w:r w:rsidR="00CB5E55">
        <w:rPr>
          <w:rFonts w:ascii="Arial" w:eastAsia="Times New Roman" w:hAnsi="Arial" w:cs="Arial"/>
          <w:color w:val="000000"/>
          <w:sz w:val="21"/>
          <w:szCs w:val="21"/>
        </w:rPr>
        <w:t>llege of Cardiology. 2017; 69</w:t>
      </w:r>
      <w:r w:rsidRPr="00AB7AB0">
        <w:rPr>
          <w:rFonts w:ascii="Arial" w:eastAsia="Times New Roman" w:hAnsi="Arial" w:cs="Arial"/>
          <w:color w:val="000000"/>
          <w:sz w:val="21"/>
          <w:szCs w:val="21"/>
        </w:rPr>
        <w:t>:679</w:t>
      </w:r>
      <w:r w:rsidR="00CB5E55">
        <w:rPr>
          <w:rFonts w:ascii="Arial" w:eastAsia="Times New Roman" w:hAnsi="Arial" w:cs="Arial"/>
          <w:color w:val="000000"/>
          <w:sz w:val="21"/>
          <w:szCs w:val="21"/>
        </w:rPr>
        <w:t>–</w:t>
      </w:r>
      <w:r w:rsidRPr="00AB7AB0">
        <w:rPr>
          <w:rFonts w:ascii="Arial" w:eastAsia="Times New Roman" w:hAnsi="Arial" w:cs="Arial"/>
          <w:color w:val="000000"/>
          <w:sz w:val="21"/>
          <w:szCs w:val="21"/>
        </w:rPr>
        <w:t xml:space="preserve">691. </w:t>
      </w:r>
    </w:p>
    <w:p w:rsidR="00852B7E" w:rsidRPr="00AB7AB0" w:rsidRDefault="00AB7AB0" w:rsidP="00AB7AB0">
      <w:pPr>
        <w:spacing w:after="0" w:line="240" w:lineRule="auto"/>
        <w:ind w:firstLine="720"/>
        <w:rPr>
          <w:rFonts w:ascii="Arial" w:eastAsia="Times New Roman" w:hAnsi="Arial" w:cs="Arial"/>
          <w:color w:val="000000"/>
          <w:sz w:val="21"/>
          <w:szCs w:val="21"/>
        </w:rPr>
      </w:pPr>
      <w:hyperlink r:id="rId10" w:history="1">
        <w:r w:rsidRPr="0059316E">
          <w:rPr>
            <w:rStyle w:val="Hyperlink"/>
            <w:rFonts w:ascii="Arial" w:eastAsia="Times New Roman" w:hAnsi="Arial" w:cs="Arial"/>
            <w:sz w:val="21"/>
            <w:szCs w:val="21"/>
          </w:rPr>
          <w:t>https://doi.org/10.1016/j.jacc.2016.11.045</w:t>
        </w:r>
      </w:hyperlink>
      <w:r w:rsidR="00ED7C70" w:rsidRPr="00AB7AB0">
        <w:rPr>
          <w:rFonts w:ascii="Arial" w:eastAsia="Times New Roman" w:hAnsi="Arial" w:cs="Arial"/>
          <w:color w:val="0000FF"/>
          <w:sz w:val="21"/>
          <w:szCs w:val="21"/>
        </w:rPr>
        <w:t xml:space="preserve"> </w:t>
      </w:r>
      <w:hyperlink r:id="rId11" w:history="1">
        <w:r w:rsidRPr="00B0527E">
          <w:rPr>
            <w:rStyle w:val="Hyperlink"/>
            <w:rFonts w:ascii="Arial" w:eastAsia="Times New Roman" w:hAnsi="Arial" w:cs="Arial"/>
            <w:color w:val="auto"/>
            <w:sz w:val="21"/>
            <w:szCs w:val="21"/>
            <w:u w:val="none"/>
          </w:rPr>
          <w:t>PMID:</w:t>
        </w:r>
        <w:r w:rsidR="00852B7E" w:rsidRPr="00B0527E">
          <w:rPr>
            <w:rStyle w:val="Hyperlink"/>
            <w:rFonts w:ascii="Arial" w:eastAsia="Times New Roman" w:hAnsi="Arial" w:cs="Arial"/>
            <w:sz w:val="21"/>
            <w:szCs w:val="21"/>
          </w:rPr>
          <w:t>28183511</w:t>
        </w:r>
      </w:hyperlink>
    </w:p>
    <w:p w:rsidR="00852B7E" w:rsidRPr="00AB7AB0" w:rsidRDefault="00852B7E" w:rsidP="00AB7AB0">
      <w:pPr>
        <w:pStyle w:val="ListParagraph"/>
        <w:numPr>
          <w:ilvl w:val="0"/>
          <w:numId w:val="1"/>
        </w:numPr>
        <w:spacing w:after="0" w:line="240" w:lineRule="auto"/>
        <w:rPr>
          <w:rFonts w:ascii="Arial" w:eastAsia="Times New Roman" w:hAnsi="Arial" w:cs="Arial"/>
          <w:color w:val="000000"/>
          <w:sz w:val="21"/>
          <w:szCs w:val="21"/>
        </w:rPr>
      </w:pPr>
      <w:r w:rsidRPr="00AB7AB0">
        <w:rPr>
          <w:rFonts w:ascii="Arial" w:eastAsia="Times New Roman" w:hAnsi="Arial" w:cs="Arial"/>
          <w:color w:val="000000"/>
          <w:sz w:val="21"/>
          <w:szCs w:val="21"/>
        </w:rPr>
        <w:t>Temraz S, Tamim H, Mailhac A, and Taher A. Could sodium imbalances predispose to postoperative venous thromboembolism? An analysis of the NSQIP database.</w:t>
      </w:r>
      <w:r w:rsidR="008172B8">
        <w:rPr>
          <w:rFonts w:ascii="Arial" w:eastAsia="Times New Roman" w:hAnsi="Arial" w:cs="Arial"/>
          <w:color w:val="000000"/>
          <w:sz w:val="21"/>
          <w:szCs w:val="21"/>
        </w:rPr>
        <w:t xml:space="preserve"> Thrombosis Journal. 2018; 16</w:t>
      </w:r>
      <w:r w:rsidRPr="00AB7AB0">
        <w:rPr>
          <w:rFonts w:ascii="Arial" w:eastAsia="Times New Roman" w:hAnsi="Arial" w:cs="Arial"/>
          <w:color w:val="000000"/>
          <w:sz w:val="21"/>
          <w:szCs w:val="21"/>
        </w:rPr>
        <w:t xml:space="preserve">:11. </w:t>
      </w:r>
      <w:hyperlink r:id="rId12" w:tgtFrame="_blank" w:history="1">
        <w:r w:rsidRPr="00AB7AB0">
          <w:rPr>
            <w:rFonts w:ascii="Arial" w:eastAsia="Times New Roman" w:hAnsi="Arial" w:cs="Arial"/>
            <w:color w:val="0000FF"/>
            <w:sz w:val="21"/>
            <w:szCs w:val="21"/>
            <w:u w:val="single"/>
          </w:rPr>
          <w:t>https://doi.org/10.1186/s12959-018-0165-5</w:t>
        </w:r>
      </w:hyperlink>
      <w:r w:rsidR="00ED7C70" w:rsidRPr="00AB7AB0">
        <w:rPr>
          <w:rFonts w:ascii="Arial" w:eastAsia="Times New Roman" w:hAnsi="Arial" w:cs="Arial"/>
          <w:color w:val="0000FF"/>
          <w:sz w:val="21"/>
          <w:szCs w:val="21"/>
        </w:rPr>
        <w:t xml:space="preserve"> </w:t>
      </w:r>
      <w:hyperlink r:id="rId13" w:history="1">
        <w:r w:rsidR="00AB7AB0" w:rsidRPr="00337A0A">
          <w:rPr>
            <w:rStyle w:val="Hyperlink"/>
            <w:rFonts w:ascii="Arial" w:eastAsia="Times New Roman" w:hAnsi="Arial" w:cs="Arial"/>
            <w:color w:val="auto"/>
            <w:sz w:val="21"/>
            <w:szCs w:val="21"/>
            <w:u w:val="none"/>
          </w:rPr>
          <w:t>PMID:</w:t>
        </w:r>
        <w:r w:rsidRPr="00337A0A">
          <w:rPr>
            <w:rStyle w:val="Hyperlink"/>
            <w:rFonts w:ascii="Arial" w:eastAsia="Times New Roman" w:hAnsi="Arial" w:cs="Arial"/>
            <w:sz w:val="21"/>
            <w:szCs w:val="21"/>
          </w:rPr>
          <w:t>29988709</w:t>
        </w:r>
      </w:hyperlink>
      <w:r w:rsidRPr="00AB7AB0">
        <w:rPr>
          <w:rFonts w:ascii="Arial" w:eastAsia="Times New Roman" w:hAnsi="Arial" w:cs="Arial"/>
          <w:color w:val="000000"/>
          <w:sz w:val="21"/>
          <w:szCs w:val="21"/>
        </w:rPr>
        <w:t xml:space="preserve"> </w:t>
      </w:r>
    </w:p>
    <w:p w:rsidR="00ED7C70" w:rsidRPr="00AB7AB0" w:rsidRDefault="00852B7E" w:rsidP="00AB7AB0">
      <w:pPr>
        <w:pStyle w:val="ListParagraph"/>
        <w:numPr>
          <w:ilvl w:val="0"/>
          <w:numId w:val="1"/>
        </w:numPr>
        <w:spacing w:after="0" w:line="240" w:lineRule="auto"/>
        <w:rPr>
          <w:rFonts w:ascii="Arial" w:eastAsia="Times New Roman" w:hAnsi="Arial" w:cs="Arial"/>
          <w:color w:val="000000"/>
          <w:sz w:val="21"/>
          <w:szCs w:val="21"/>
        </w:rPr>
      </w:pPr>
      <w:r w:rsidRPr="00AB7AB0">
        <w:rPr>
          <w:rFonts w:ascii="Arial" w:eastAsia="Times New Roman" w:hAnsi="Arial" w:cs="Arial"/>
          <w:color w:val="000000"/>
          <w:sz w:val="21"/>
          <w:szCs w:val="21"/>
        </w:rPr>
        <w:t>Roques F, Michel P, Goldstone AR, and Nashef SAM. The logistic EuroSCORE. Eur</w:t>
      </w:r>
      <w:r w:rsidR="008172B8">
        <w:rPr>
          <w:rFonts w:ascii="Arial" w:eastAsia="Times New Roman" w:hAnsi="Arial" w:cs="Arial"/>
          <w:color w:val="000000"/>
          <w:sz w:val="21"/>
          <w:szCs w:val="21"/>
        </w:rPr>
        <w:t>opean Heart Journal. 2003; 24</w:t>
      </w:r>
      <w:r w:rsidRPr="00AB7AB0">
        <w:rPr>
          <w:rFonts w:ascii="Arial" w:eastAsia="Times New Roman" w:hAnsi="Arial" w:cs="Arial"/>
          <w:color w:val="000000"/>
          <w:sz w:val="21"/>
          <w:szCs w:val="21"/>
        </w:rPr>
        <w:t>:882</w:t>
      </w:r>
      <w:r w:rsidR="008172B8">
        <w:rPr>
          <w:rFonts w:ascii="Arial" w:eastAsia="Times New Roman" w:hAnsi="Arial" w:cs="Arial"/>
          <w:color w:val="000000"/>
          <w:sz w:val="21"/>
          <w:szCs w:val="21"/>
        </w:rPr>
        <w:t>–</w:t>
      </w:r>
      <w:r w:rsidRPr="00AB7AB0">
        <w:rPr>
          <w:rFonts w:ascii="Arial" w:eastAsia="Times New Roman" w:hAnsi="Arial" w:cs="Arial"/>
          <w:color w:val="000000"/>
          <w:sz w:val="21"/>
          <w:szCs w:val="21"/>
        </w:rPr>
        <w:t xml:space="preserve">883. </w:t>
      </w:r>
    </w:p>
    <w:p w:rsidR="00852B7E" w:rsidRPr="00AB7AB0" w:rsidRDefault="00AB7AB0" w:rsidP="00AB7AB0">
      <w:pPr>
        <w:spacing w:after="0" w:line="240" w:lineRule="auto"/>
        <w:ind w:firstLine="720"/>
        <w:rPr>
          <w:rFonts w:ascii="Arial" w:eastAsia="Times New Roman" w:hAnsi="Arial" w:cs="Arial"/>
          <w:color w:val="000000"/>
          <w:sz w:val="21"/>
          <w:szCs w:val="21"/>
        </w:rPr>
      </w:pPr>
      <w:hyperlink r:id="rId14" w:history="1">
        <w:r w:rsidRPr="0059316E">
          <w:rPr>
            <w:rStyle w:val="Hyperlink"/>
            <w:rFonts w:ascii="Arial" w:eastAsia="Times New Roman" w:hAnsi="Arial" w:cs="Arial"/>
            <w:sz w:val="21"/>
            <w:szCs w:val="21"/>
          </w:rPr>
          <w:t>https://doi.org/10.1016/S0195-668X(02)00799-6</w:t>
        </w:r>
      </w:hyperlink>
    </w:p>
    <w:p w:rsidR="00ED7C70" w:rsidRPr="00AB7AB0" w:rsidRDefault="00852B7E" w:rsidP="00AB7AB0">
      <w:pPr>
        <w:pStyle w:val="ListParagraph"/>
        <w:numPr>
          <w:ilvl w:val="0"/>
          <w:numId w:val="1"/>
        </w:numPr>
        <w:spacing w:after="0" w:line="240" w:lineRule="auto"/>
        <w:rPr>
          <w:rFonts w:ascii="Arial" w:eastAsia="Times New Roman" w:hAnsi="Arial" w:cs="Arial"/>
          <w:color w:val="000000"/>
          <w:sz w:val="21"/>
          <w:szCs w:val="21"/>
        </w:rPr>
      </w:pPr>
      <w:r w:rsidRPr="00AB7AB0">
        <w:rPr>
          <w:rFonts w:ascii="Arial" w:eastAsia="Times New Roman" w:hAnsi="Arial" w:cs="Arial"/>
          <w:color w:val="000000"/>
          <w:sz w:val="21"/>
          <w:szCs w:val="21"/>
        </w:rPr>
        <w:t>Heuman DM, Mihas AA, Habib A, Gilles HS, Stravitz RT, Sanyal AJ, and Fisher RA. MELD-XI: a rational approach to "sickest first" liver transplantation in cirrhotic patients requiring anticoagulant therapy. Li</w:t>
      </w:r>
      <w:r w:rsidR="008172B8">
        <w:rPr>
          <w:rFonts w:ascii="Arial" w:eastAsia="Times New Roman" w:hAnsi="Arial" w:cs="Arial"/>
          <w:color w:val="000000"/>
          <w:sz w:val="21"/>
          <w:szCs w:val="21"/>
        </w:rPr>
        <w:t>ver Transplantation. 2007; 13</w:t>
      </w:r>
      <w:r w:rsidRPr="00AB7AB0">
        <w:rPr>
          <w:rFonts w:ascii="Arial" w:eastAsia="Times New Roman" w:hAnsi="Arial" w:cs="Arial"/>
          <w:color w:val="000000"/>
          <w:sz w:val="21"/>
          <w:szCs w:val="21"/>
        </w:rPr>
        <w:t>:30</w:t>
      </w:r>
      <w:r w:rsidR="008172B8">
        <w:rPr>
          <w:rFonts w:ascii="Arial" w:eastAsia="Times New Roman" w:hAnsi="Arial" w:cs="Arial"/>
          <w:color w:val="000000"/>
          <w:sz w:val="21"/>
          <w:szCs w:val="21"/>
        </w:rPr>
        <w:t>–</w:t>
      </w:r>
      <w:r w:rsidRPr="00AB7AB0">
        <w:rPr>
          <w:rFonts w:ascii="Arial" w:eastAsia="Times New Roman" w:hAnsi="Arial" w:cs="Arial"/>
          <w:color w:val="000000"/>
          <w:sz w:val="21"/>
          <w:szCs w:val="21"/>
        </w:rPr>
        <w:t xml:space="preserve">37. </w:t>
      </w:r>
    </w:p>
    <w:p w:rsidR="00852B7E" w:rsidRPr="00AB7AB0" w:rsidRDefault="00AB7AB0" w:rsidP="00AB7AB0">
      <w:pPr>
        <w:spacing w:after="0" w:line="240" w:lineRule="auto"/>
        <w:ind w:left="360" w:firstLine="360"/>
        <w:rPr>
          <w:rFonts w:ascii="Arial" w:eastAsia="Times New Roman" w:hAnsi="Arial" w:cs="Arial"/>
          <w:color w:val="000000"/>
          <w:sz w:val="21"/>
          <w:szCs w:val="21"/>
        </w:rPr>
      </w:pPr>
      <w:hyperlink r:id="rId15" w:history="1">
        <w:r w:rsidRPr="0059316E">
          <w:rPr>
            <w:rStyle w:val="Hyperlink"/>
            <w:rFonts w:ascii="Arial" w:eastAsia="Times New Roman" w:hAnsi="Arial" w:cs="Arial"/>
            <w:sz w:val="21"/>
            <w:szCs w:val="21"/>
          </w:rPr>
          <w:t>https://doi.org/10.1002/lt.20906</w:t>
        </w:r>
      </w:hyperlink>
      <w:r w:rsidR="00ED7C70" w:rsidRPr="00AB7AB0">
        <w:rPr>
          <w:rFonts w:ascii="Arial" w:eastAsia="Times New Roman" w:hAnsi="Arial" w:cs="Arial"/>
          <w:color w:val="0000FF"/>
          <w:sz w:val="21"/>
          <w:szCs w:val="21"/>
        </w:rPr>
        <w:t xml:space="preserve"> </w:t>
      </w:r>
      <w:hyperlink r:id="rId16" w:history="1">
        <w:r w:rsidRPr="00186498">
          <w:rPr>
            <w:rStyle w:val="Hyperlink"/>
            <w:rFonts w:ascii="Arial" w:eastAsia="Times New Roman" w:hAnsi="Arial" w:cs="Arial"/>
            <w:color w:val="auto"/>
            <w:sz w:val="21"/>
            <w:szCs w:val="21"/>
            <w:u w:val="none"/>
          </w:rPr>
          <w:t>PMID:</w:t>
        </w:r>
        <w:r w:rsidR="00852B7E" w:rsidRPr="00186498">
          <w:rPr>
            <w:rStyle w:val="Hyperlink"/>
            <w:rFonts w:ascii="Arial" w:eastAsia="Times New Roman" w:hAnsi="Arial" w:cs="Arial"/>
            <w:sz w:val="21"/>
            <w:szCs w:val="21"/>
          </w:rPr>
          <w:t>17154400</w:t>
        </w:r>
      </w:hyperlink>
    </w:p>
    <w:p w:rsidR="00852B7E" w:rsidRPr="00AB7AB0" w:rsidRDefault="00852B7E" w:rsidP="00AB7AB0">
      <w:pPr>
        <w:pStyle w:val="ListParagraph"/>
        <w:numPr>
          <w:ilvl w:val="0"/>
          <w:numId w:val="1"/>
        </w:numPr>
        <w:spacing w:after="0" w:line="240" w:lineRule="auto"/>
        <w:rPr>
          <w:rFonts w:ascii="Arial" w:eastAsia="Times New Roman" w:hAnsi="Arial" w:cs="Arial"/>
          <w:color w:val="000000"/>
          <w:sz w:val="21"/>
          <w:szCs w:val="21"/>
        </w:rPr>
      </w:pPr>
      <w:r w:rsidRPr="00AB7AB0">
        <w:rPr>
          <w:rFonts w:ascii="Arial" w:eastAsia="Times New Roman" w:hAnsi="Arial" w:cs="Arial"/>
          <w:color w:val="000000"/>
          <w:sz w:val="21"/>
          <w:szCs w:val="21"/>
        </w:rPr>
        <w:t>Torbicki A, Peacock A, Vonk Noordegraaf A, Ghofrani A, Hansmann G, Simonneau G, Lang I, Vachiery J-L, Pierard LA, Matucci M, Hoeper M, Beghetti M, Zompatori M, et al. 2015 ESC/ERS Guidelines for the diagnosis and treatment of pulmonary hypertension: The Joint Task Force for the Diagnosis and Treatment of Pulmonary Hypertension of the European Society of Cardiology (ESC) and the European Respiratory Society (ERS): Endorsed by: Association for European Paediatric and Congenital Cardiology (AEPC), International Society for Heart and Lung Transplantation (ISHLT). Eur</w:t>
      </w:r>
      <w:r w:rsidR="005A3EE6">
        <w:rPr>
          <w:rFonts w:ascii="Arial" w:eastAsia="Times New Roman" w:hAnsi="Arial" w:cs="Arial"/>
          <w:color w:val="000000"/>
          <w:sz w:val="21"/>
          <w:szCs w:val="21"/>
        </w:rPr>
        <w:t>opean Heart Journal. 2015; 37</w:t>
      </w:r>
      <w:r w:rsidRPr="00AB7AB0">
        <w:rPr>
          <w:rFonts w:ascii="Arial" w:eastAsia="Times New Roman" w:hAnsi="Arial" w:cs="Arial"/>
          <w:color w:val="000000"/>
          <w:sz w:val="21"/>
          <w:szCs w:val="21"/>
        </w:rPr>
        <w:t>:67</w:t>
      </w:r>
      <w:r w:rsidR="005A3EE6">
        <w:rPr>
          <w:rFonts w:ascii="Arial" w:eastAsia="Times New Roman" w:hAnsi="Arial" w:cs="Arial"/>
          <w:color w:val="000000"/>
          <w:sz w:val="21"/>
          <w:szCs w:val="21"/>
        </w:rPr>
        <w:t>–</w:t>
      </w:r>
      <w:r w:rsidRPr="00AB7AB0">
        <w:rPr>
          <w:rFonts w:ascii="Arial" w:eastAsia="Times New Roman" w:hAnsi="Arial" w:cs="Arial"/>
          <w:color w:val="000000"/>
          <w:sz w:val="21"/>
          <w:szCs w:val="21"/>
        </w:rPr>
        <w:t xml:space="preserve">119. </w:t>
      </w:r>
      <w:hyperlink r:id="rId17" w:tgtFrame="_blank" w:history="1">
        <w:r w:rsidRPr="00AB7AB0">
          <w:rPr>
            <w:rFonts w:ascii="Arial" w:eastAsia="Times New Roman" w:hAnsi="Arial" w:cs="Arial"/>
            <w:color w:val="0000FF"/>
            <w:sz w:val="21"/>
            <w:szCs w:val="21"/>
            <w:u w:val="single"/>
          </w:rPr>
          <w:t>https://doi.org/10.1093/eurheartj/ehv317</w:t>
        </w:r>
      </w:hyperlink>
      <w:r w:rsidR="00ED7C70" w:rsidRPr="00AB7AB0">
        <w:rPr>
          <w:rFonts w:ascii="Arial" w:eastAsia="Times New Roman" w:hAnsi="Arial" w:cs="Arial"/>
          <w:color w:val="0000FF"/>
          <w:sz w:val="21"/>
          <w:szCs w:val="21"/>
        </w:rPr>
        <w:t xml:space="preserve"> </w:t>
      </w:r>
      <w:hyperlink r:id="rId18" w:history="1">
        <w:r w:rsidR="00AB7AB0" w:rsidRPr="00186498">
          <w:rPr>
            <w:rStyle w:val="Hyperlink"/>
            <w:rFonts w:ascii="Arial" w:eastAsia="Times New Roman" w:hAnsi="Arial" w:cs="Arial"/>
            <w:color w:val="auto"/>
            <w:sz w:val="21"/>
            <w:szCs w:val="21"/>
            <w:u w:val="none"/>
          </w:rPr>
          <w:t>PMID:</w:t>
        </w:r>
        <w:r w:rsidRPr="00186498">
          <w:rPr>
            <w:rStyle w:val="Hyperlink"/>
            <w:rFonts w:ascii="Arial" w:eastAsia="Times New Roman" w:hAnsi="Arial" w:cs="Arial"/>
            <w:sz w:val="21"/>
            <w:szCs w:val="21"/>
          </w:rPr>
          <w:t>26320113</w:t>
        </w:r>
      </w:hyperlink>
    </w:p>
    <w:p w:rsidR="00ED7C70" w:rsidRPr="00AB7AB0" w:rsidRDefault="00852B7E" w:rsidP="00AB7AB0">
      <w:pPr>
        <w:pStyle w:val="ListParagraph"/>
        <w:numPr>
          <w:ilvl w:val="0"/>
          <w:numId w:val="1"/>
        </w:numPr>
        <w:spacing w:after="0" w:line="240" w:lineRule="auto"/>
        <w:rPr>
          <w:rFonts w:ascii="Arial" w:eastAsia="Times New Roman" w:hAnsi="Arial" w:cs="Arial"/>
          <w:color w:val="000000"/>
          <w:sz w:val="21"/>
          <w:szCs w:val="21"/>
        </w:rPr>
      </w:pPr>
      <w:r w:rsidRPr="00AB7AB0">
        <w:rPr>
          <w:rFonts w:ascii="Arial" w:eastAsia="Times New Roman" w:hAnsi="Arial" w:cs="Arial"/>
          <w:color w:val="000000"/>
          <w:sz w:val="21"/>
          <w:szCs w:val="21"/>
        </w:rPr>
        <w:t>Levey AS, Stevens LA, Schmid CH, Zhang YL, Castro AF, 3rd, Feldman HI, Kusek JW, Eggers P, Van Lente F, Greene T, and Coresh J. A New Equation to Estimate Glomerular Filtration Rate. Annals of</w:t>
      </w:r>
      <w:r w:rsidR="005A3EE6">
        <w:rPr>
          <w:rFonts w:ascii="Arial" w:eastAsia="Times New Roman" w:hAnsi="Arial" w:cs="Arial"/>
          <w:color w:val="000000"/>
          <w:sz w:val="21"/>
          <w:szCs w:val="21"/>
        </w:rPr>
        <w:t xml:space="preserve"> Internal Medicine. 2009; 150</w:t>
      </w:r>
      <w:r w:rsidRPr="00AB7AB0">
        <w:rPr>
          <w:rFonts w:ascii="Arial" w:eastAsia="Times New Roman" w:hAnsi="Arial" w:cs="Arial"/>
          <w:color w:val="000000"/>
          <w:sz w:val="21"/>
          <w:szCs w:val="21"/>
        </w:rPr>
        <w:t>:604</w:t>
      </w:r>
      <w:r w:rsidR="005A3EE6">
        <w:rPr>
          <w:rFonts w:ascii="Arial" w:eastAsia="Times New Roman" w:hAnsi="Arial" w:cs="Arial"/>
          <w:color w:val="000000"/>
          <w:sz w:val="21"/>
          <w:szCs w:val="21"/>
        </w:rPr>
        <w:t>–</w:t>
      </w:r>
      <w:r w:rsidRPr="00AB7AB0">
        <w:rPr>
          <w:rFonts w:ascii="Arial" w:eastAsia="Times New Roman" w:hAnsi="Arial" w:cs="Arial"/>
          <w:color w:val="000000"/>
          <w:sz w:val="21"/>
          <w:szCs w:val="21"/>
        </w:rPr>
        <w:t xml:space="preserve">612. </w:t>
      </w:r>
    </w:p>
    <w:p w:rsidR="00852B7E" w:rsidRPr="00AB7AB0" w:rsidRDefault="00AB7AB0" w:rsidP="00AB7AB0">
      <w:pPr>
        <w:spacing w:after="0" w:line="240" w:lineRule="auto"/>
        <w:ind w:left="360" w:firstLine="360"/>
        <w:rPr>
          <w:rFonts w:ascii="Arial" w:eastAsia="Times New Roman" w:hAnsi="Arial" w:cs="Arial"/>
          <w:color w:val="000000"/>
          <w:sz w:val="21"/>
          <w:szCs w:val="21"/>
        </w:rPr>
      </w:pPr>
      <w:hyperlink r:id="rId19" w:history="1">
        <w:r w:rsidRPr="0059316E">
          <w:rPr>
            <w:rStyle w:val="Hyperlink"/>
            <w:rFonts w:ascii="Arial" w:eastAsia="Times New Roman" w:hAnsi="Arial" w:cs="Arial"/>
            <w:sz w:val="21"/>
            <w:szCs w:val="21"/>
          </w:rPr>
          <w:t>https://doi.org/10.7326/0003-4819-150-9-200905050-00006</w:t>
        </w:r>
      </w:hyperlink>
      <w:r w:rsidR="005A3EE6">
        <w:rPr>
          <w:rFonts w:ascii="Arial" w:eastAsia="Times New Roman" w:hAnsi="Arial" w:cs="Arial"/>
          <w:color w:val="0000FF"/>
          <w:sz w:val="21"/>
          <w:szCs w:val="21"/>
        </w:rPr>
        <w:t xml:space="preserve"> </w:t>
      </w:r>
      <w:hyperlink r:id="rId20" w:history="1">
        <w:r w:rsidRPr="00F93096">
          <w:rPr>
            <w:rStyle w:val="Hyperlink"/>
            <w:rFonts w:ascii="Arial" w:eastAsia="Times New Roman" w:hAnsi="Arial" w:cs="Arial"/>
            <w:color w:val="auto"/>
            <w:sz w:val="21"/>
            <w:szCs w:val="21"/>
            <w:u w:val="none"/>
          </w:rPr>
          <w:t>PMID:</w:t>
        </w:r>
        <w:r w:rsidR="00ED7C70" w:rsidRPr="00F93096">
          <w:rPr>
            <w:rStyle w:val="Hyperlink"/>
            <w:rFonts w:ascii="Arial" w:eastAsia="Times New Roman" w:hAnsi="Arial" w:cs="Arial"/>
            <w:sz w:val="21"/>
            <w:szCs w:val="21"/>
          </w:rPr>
          <w:t>19414839</w:t>
        </w:r>
      </w:hyperlink>
    </w:p>
    <w:p w:rsidR="00ED7C70" w:rsidRPr="00AB7AB0" w:rsidRDefault="00852B7E" w:rsidP="00AB7AB0">
      <w:pPr>
        <w:pStyle w:val="ListParagraph"/>
        <w:numPr>
          <w:ilvl w:val="0"/>
          <w:numId w:val="1"/>
        </w:numPr>
        <w:spacing w:after="0" w:line="240" w:lineRule="auto"/>
        <w:rPr>
          <w:rFonts w:ascii="Arial" w:eastAsia="Times New Roman" w:hAnsi="Arial" w:cs="Arial"/>
          <w:color w:val="000000"/>
          <w:sz w:val="21"/>
          <w:szCs w:val="21"/>
        </w:rPr>
      </w:pPr>
      <w:r w:rsidRPr="00AB7AB0">
        <w:rPr>
          <w:rFonts w:ascii="Arial" w:eastAsia="Times New Roman" w:hAnsi="Arial" w:cs="Arial"/>
          <w:color w:val="000000"/>
          <w:sz w:val="21"/>
          <w:szCs w:val="21"/>
        </w:rPr>
        <w:t>Smith C, Nashef SAM, Roques F, Sharples LD, Nilsson J, Goldstone AR, and Lockowandt U. EuroSCORE II. European Journal of Card</w:t>
      </w:r>
      <w:r w:rsidR="005A3EE6">
        <w:rPr>
          <w:rFonts w:ascii="Arial" w:eastAsia="Times New Roman" w:hAnsi="Arial" w:cs="Arial"/>
          <w:color w:val="000000"/>
          <w:sz w:val="21"/>
          <w:szCs w:val="21"/>
        </w:rPr>
        <w:t>io-Thoracic Surgery. 2012; 41</w:t>
      </w:r>
      <w:r w:rsidRPr="00AB7AB0">
        <w:rPr>
          <w:rFonts w:ascii="Arial" w:eastAsia="Times New Roman" w:hAnsi="Arial" w:cs="Arial"/>
          <w:color w:val="000000"/>
          <w:sz w:val="21"/>
          <w:szCs w:val="21"/>
        </w:rPr>
        <w:t>:734</w:t>
      </w:r>
      <w:r w:rsidR="005A3EE6">
        <w:rPr>
          <w:rFonts w:ascii="Arial" w:eastAsia="Times New Roman" w:hAnsi="Arial" w:cs="Arial"/>
          <w:color w:val="000000"/>
          <w:sz w:val="21"/>
          <w:szCs w:val="21"/>
        </w:rPr>
        <w:t>–</w:t>
      </w:r>
      <w:r w:rsidRPr="00AB7AB0">
        <w:rPr>
          <w:rFonts w:ascii="Arial" w:eastAsia="Times New Roman" w:hAnsi="Arial" w:cs="Arial"/>
          <w:color w:val="000000"/>
          <w:sz w:val="21"/>
          <w:szCs w:val="21"/>
        </w:rPr>
        <w:t xml:space="preserve">745. </w:t>
      </w:r>
    </w:p>
    <w:p w:rsidR="00852B7E" w:rsidRPr="00AB7AB0" w:rsidRDefault="00AB7AB0" w:rsidP="00AB7AB0">
      <w:pPr>
        <w:spacing w:after="0" w:line="240" w:lineRule="auto"/>
        <w:ind w:left="360" w:firstLine="360"/>
        <w:rPr>
          <w:rFonts w:ascii="Arial" w:eastAsia="Times New Roman" w:hAnsi="Arial" w:cs="Arial"/>
          <w:color w:val="000000"/>
          <w:sz w:val="21"/>
          <w:szCs w:val="21"/>
        </w:rPr>
      </w:pPr>
      <w:hyperlink r:id="rId21" w:history="1">
        <w:r w:rsidRPr="0059316E">
          <w:rPr>
            <w:rStyle w:val="Hyperlink"/>
            <w:rFonts w:ascii="Arial" w:eastAsia="Times New Roman" w:hAnsi="Arial" w:cs="Arial"/>
            <w:sz w:val="21"/>
            <w:szCs w:val="21"/>
          </w:rPr>
          <w:t>https://doi.org/10.1093/ejcts/ezs043</w:t>
        </w:r>
      </w:hyperlink>
      <w:r w:rsidR="00ED7C70" w:rsidRPr="00AB7AB0">
        <w:rPr>
          <w:rFonts w:ascii="Arial" w:eastAsia="Times New Roman" w:hAnsi="Arial" w:cs="Arial"/>
          <w:color w:val="0000FF"/>
          <w:sz w:val="21"/>
          <w:szCs w:val="21"/>
        </w:rPr>
        <w:t xml:space="preserve"> </w:t>
      </w:r>
      <w:hyperlink r:id="rId22" w:history="1">
        <w:r w:rsidRPr="00F93096">
          <w:rPr>
            <w:rStyle w:val="Hyperlink"/>
            <w:rFonts w:ascii="Arial" w:eastAsia="Times New Roman" w:hAnsi="Arial" w:cs="Arial"/>
            <w:color w:val="auto"/>
            <w:sz w:val="21"/>
            <w:szCs w:val="21"/>
            <w:u w:val="none"/>
          </w:rPr>
          <w:t>PMID:</w:t>
        </w:r>
        <w:r w:rsidR="00852B7E" w:rsidRPr="00F93096">
          <w:rPr>
            <w:rStyle w:val="Hyperlink"/>
            <w:rFonts w:ascii="Arial" w:eastAsia="Times New Roman" w:hAnsi="Arial" w:cs="Arial"/>
            <w:sz w:val="21"/>
            <w:szCs w:val="21"/>
          </w:rPr>
          <w:t>22378855</w:t>
        </w:r>
      </w:hyperlink>
    </w:p>
    <w:p w:rsidR="00852B7E" w:rsidRPr="00AC20A3" w:rsidRDefault="00852B7E" w:rsidP="00852B7E">
      <w:pPr>
        <w:spacing w:after="0" w:line="240" w:lineRule="auto"/>
        <w:rPr>
          <w:rFonts w:ascii="Times New Roman" w:eastAsia="Times New Roman" w:hAnsi="Times New Roman" w:cs="Times New Roman"/>
          <w:sz w:val="20"/>
          <w:szCs w:val="20"/>
        </w:rPr>
      </w:pPr>
    </w:p>
    <w:sectPr w:rsidR="00852B7E" w:rsidRPr="00AC20A3" w:rsidSect="00913964">
      <w:type w:val="continuous"/>
      <w:pgSz w:w="12240" w:h="15840" w:code="1"/>
      <w:pgMar w:top="1008" w:right="1008" w:bottom="1166" w:left="1008"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05940"/>
    <w:multiLevelType w:val="hybridMultilevel"/>
    <w:tmpl w:val="131A3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0614B0"/>
    <w:multiLevelType w:val="hybridMultilevel"/>
    <w:tmpl w:val="9F6EC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33D"/>
    <w:rsid w:val="00060145"/>
    <w:rsid w:val="0009433D"/>
    <w:rsid w:val="00133EB8"/>
    <w:rsid w:val="00186498"/>
    <w:rsid w:val="002E1DAF"/>
    <w:rsid w:val="00322729"/>
    <w:rsid w:val="00337A0A"/>
    <w:rsid w:val="005A3EE6"/>
    <w:rsid w:val="008172B8"/>
    <w:rsid w:val="008316A3"/>
    <w:rsid w:val="00852B7E"/>
    <w:rsid w:val="00913964"/>
    <w:rsid w:val="00993E88"/>
    <w:rsid w:val="00AB7AB0"/>
    <w:rsid w:val="00B0527E"/>
    <w:rsid w:val="00BD2581"/>
    <w:rsid w:val="00BD7488"/>
    <w:rsid w:val="00C7324F"/>
    <w:rsid w:val="00CB5E55"/>
    <w:rsid w:val="00EC4903"/>
    <w:rsid w:val="00ED7C70"/>
    <w:rsid w:val="00F93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33D"/>
    <w:pPr>
      <w:widowControl w:val="0"/>
      <w:wordWrap w:val="0"/>
      <w:jc w:val="both"/>
    </w:pPr>
    <w:rPr>
      <w:rFonts w:eastAsiaTheme="minorEastAsia"/>
      <w:kern w:val="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433D"/>
    <w:pPr>
      <w:spacing w:after="0" w:line="240" w:lineRule="auto"/>
    </w:pPr>
    <w:rPr>
      <w:rFonts w:eastAsiaTheme="minorEastAsia"/>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3EB8"/>
    <w:pPr>
      <w:ind w:left="720"/>
      <w:contextualSpacing/>
    </w:pPr>
  </w:style>
  <w:style w:type="character" w:styleId="Hyperlink">
    <w:name w:val="Hyperlink"/>
    <w:basedOn w:val="DefaultParagraphFont"/>
    <w:uiPriority w:val="99"/>
    <w:unhideWhenUsed/>
    <w:rsid w:val="00133EB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33D"/>
    <w:pPr>
      <w:widowControl w:val="0"/>
      <w:wordWrap w:val="0"/>
      <w:jc w:val="both"/>
    </w:pPr>
    <w:rPr>
      <w:rFonts w:eastAsiaTheme="minorEastAsia"/>
      <w:kern w:val="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433D"/>
    <w:pPr>
      <w:spacing w:after="0" w:line="240" w:lineRule="auto"/>
    </w:pPr>
    <w:rPr>
      <w:rFonts w:eastAsiaTheme="minorEastAsia"/>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3EB8"/>
    <w:pPr>
      <w:ind w:left="720"/>
      <w:contextualSpacing/>
    </w:pPr>
  </w:style>
  <w:style w:type="character" w:styleId="Hyperlink">
    <w:name w:val="Hyperlink"/>
    <w:basedOn w:val="DefaultParagraphFont"/>
    <w:uiPriority w:val="99"/>
    <w:unhideWhenUsed/>
    <w:rsid w:val="00133E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9/000339789" TargetMode="External"/><Relationship Id="rId13" Type="http://schemas.openxmlformats.org/officeDocument/2006/relationships/hyperlink" Target="https://www.ncbi.nlm.nih.gov/pubmed/29988709" TargetMode="External"/><Relationship Id="rId18" Type="http://schemas.openxmlformats.org/officeDocument/2006/relationships/hyperlink" Target="https://www.ncbi.nlm.nih.gov/pubmed/26320113" TargetMode="External"/><Relationship Id="rId3" Type="http://schemas.microsoft.com/office/2007/relationships/stylesWithEffects" Target="stylesWithEffects.xml"/><Relationship Id="rId21" Type="http://schemas.openxmlformats.org/officeDocument/2006/relationships/hyperlink" Target="https://doi.org/10.1093/ejcts/ezs043" TargetMode="External"/><Relationship Id="rId7" Type="http://schemas.openxmlformats.org/officeDocument/2006/relationships/hyperlink" Target="https://www.ncbi.nlm.nih.gov/pubmed/29577925" TargetMode="External"/><Relationship Id="rId12" Type="http://schemas.openxmlformats.org/officeDocument/2006/relationships/hyperlink" Target="https://doi.org/10.1186/s12959-018-0165-5" TargetMode="External"/><Relationship Id="rId17" Type="http://schemas.openxmlformats.org/officeDocument/2006/relationships/hyperlink" Target="https://doi.org/10.1093/eurheartj/ehv317" TargetMode="External"/><Relationship Id="rId2" Type="http://schemas.openxmlformats.org/officeDocument/2006/relationships/styles" Target="styles.xml"/><Relationship Id="rId16" Type="http://schemas.openxmlformats.org/officeDocument/2006/relationships/hyperlink" Target="https://www.ncbi.nlm.nih.gov/pubmed/17154400" TargetMode="External"/><Relationship Id="rId20" Type="http://schemas.openxmlformats.org/officeDocument/2006/relationships/hyperlink" Target="https://www.ncbi.nlm.nih.gov/pubmed/19414839" TargetMode="External"/><Relationship Id="rId1" Type="http://schemas.openxmlformats.org/officeDocument/2006/relationships/numbering" Target="numbering.xml"/><Relationship Id="rId6" Type="http://schemas.openxmlformats.org/officeDocument/2006/relationships/hyperlink" Target="https://doi.org/10.1016/j.athoracsur.2018.03.002" TargetMode="External"/><Relationship Id="rId11" Type="http://schemas.openxmlformats.org/officeDocument/2006/relationships/hyperlink" Target="https://www.ncbi.nlm.nih.gov/pubmed/2818351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2/lt.20906" TargetMode="External"/><Relationship Id="rId23" Type="http://schemas.openxmlformats.org/officeDocument/2006/relationships/fontTable" Target="fontTable.xml"/><Relationship Id="rId10" Type="http://schemas.openxmlformats.org/officeDocument/2006/relationships/hyperlink" Target="https://doi.org/10.1016/j.jacc.2016.11.045" TargetMode="External"/><Relationship Id="rId19" Type="http://schemas.openxmlformats.org/officeDocument/2006/relationships/hyperlink" Target="https://doi.org/10.7326/0003-4819-150-9-200905050-00006" TargetMode="External"/><Relationship Id="rId4" Type="http://schemas.openxmlformats.org/officeDocument/2006/relationships/settings" Target="settings.xml"/><Relationship Id="rId9" Type="http://schemas.openxmlformats.org/officeDocument/2006/relationships/hyperlink" Target="https://www.ncbi.nlm.nih.gov/pubmed/22890468" TargetMode="External"/><Relationship Id="rId14" Type="http://schemas.openxmlformats.org/officeDocument/2006/relationships/hyperlink" Target="https://doi.org/10.1016/S0195-668X(02)00799-6" TargetMode="External"/><Relationship Id="rId22" Type="http://schemas.openxmlformats.org/officeDocument/2006/relationships/hyperlink" Target="https://www.ncbi.nlm.nih.gov/pubmed/223788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17</cp:revision>
  <dcterms:created xsi:type="dcterms:W3CDTF">2019-10-15T09:32:00Z</dcterms:created>
  <dcterms:modified xsi:type="dcterms:W3CDTF">2019-10-15T13:27:00Z</dcterms:modified>
</cp:coreProperties>
</file>