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CA2" w:rsidRPr="003B2CA2" w:rsidRDefault="003B2CA2" w:rsidP="003B2CA2">
      <w:pPr>
        <w:rPr>
          <w:rFonts w:ascii="Times New Roman" w:hAnsi="Times New Roman" w:cs="Times New Roman"/>
          <w:sz w:val="22"/>
          <w:shd w:val="clear" w:color="auto" w:fill="FFFFFF"/>
        </w:rPr>
      </w:pPr>
      <w:bookmarkStart w:id="0" w:name="_GoBack"/>
      <w:bookmarkEnd w:id="0"/>
      <w:r w:rsidRPr="003B2CA2">
        <w:rPr>
          <w:rFonts w:ascii="Times New Roman" w:hAnsi="Times New Roman" w:cs="Times New Roman" w:hint="eastAsia"/>
          <w:b/>
          <w:sz w:val="22"/>
          <w:shd w:val="clear" w:color="auto" w:fill="FFFFFF"/>
        </w:rPr>
        <w:t>Appendix Table A2</w:t>
      </w:r>
      <w:r w:rsidRPr="003B2CA2">
        <w:rPr>
          <w:rFonts w:ascii="Times New Roman" w:hAnsi="Times New Roman" w:cs="Times New Roman" w:hint="eastAsia"/>
          <w:sz w:val="22"/>
          <w:shd w:val="clear" w:color="auto" w:fill="FFFFFF"/>
        </w:rPr>
        <w:t xml:space="preserve">. </w:t>
      </w:r>
      <w:r w:rsidRPr="003B2CA2">
        <w:rPr>
          <w:rFonts w:ascii="Times New Roman" w:hAnsi="Times New Roman" w:cs="Times New Roman"/>
          <w:sz w:val="22"/>
        </w:rPr>
        <w:t>Baseline characteristics of included studies in this Bayesian study</w:t>
      </w:r>
    </w:p>
    <w:p w:rsidR="003B2CA2" w:rsidRPr="003B2CA2" w:rsidRDefault="003B2CA2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697"/>
        <w:gridCol w:w="1121"/>
        <w:gridCol w:w="960"/>
        <w:gridCol w:w="2644"/>
        <w:gridCol w:w="2641"/>
        <w:gridCol w:w="2251"/>
        <w:gridCol w:w="2248"/>
        <w:gridCol w:w="1762"/>
      </w:tblGrid>
      <w:tr w:rsidR="003B2CA2" w:rsidRPr="00B6477B" w:rsidTr="00E768FB">
        <w:trPr>
          <w:trHeight w:val="90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Study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Mean age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Metastasis (number)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period</w:t>
            </w: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Intervention arm (number)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Control arm (number)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Outcome (HR, 95% CI)</w:t>
            </w:r>
          </w:p>
        </w:tc>
        <w:tc>
          <w:tcPr>
            <w:tcW w:w="72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Trial name (registration information)</w:t>
            </w: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EGFR genomic aberration data (HR, 95% CI)‡</w:t>
            </w:r>
          </w:p>
        </w:tc>
      </w:tr>
      <w:tr w:rsidR="003B2CA2" w:rsidRPr="00B6477B" w:rsidTr="00E768FB">
        <w:trPr>
          <w:trHeight w:val="1200"/>
        </w:trPr>
        <w:tc>
          <w:tcPr>
            <w:tcW w:w="374" w:type="pct"/>
            <w:tcBorders>
              <w:top w:val="single" w:sz="4" w:space="0" w:color="auto"/>
            </w:tcBorders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Saito et al, 2019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46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(Japan)</w:t>
            </w:r>
          </w:p>
        </w:tc>
        <w:tc>
          <w:tcPr>
            <w:tcW w:w="225" w:type="pct"/>
            <w:tcBorders>
              <w:top w:val="single" w:sz="4" w:space="0" w:color="auto"/>
            </w:tcBorders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67.5 y</w:t>
            </w:r>
          </w:p>
        </w:tc>
        <w:tc>
          <w:tcPr>
            <w:tcW w:w="362" w:type="pct"/>
            <w:tcBorders>
              <w:top w:val="single" w:sz="4" w:space="0" w:color="auto"/>
            </w:tcBorders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CNS metastasis (72)</w:t>
            </w:r>
          </w:p>
        </w:tc>
        <w:tc>
          <w:tcPr>
            <w:tcW w:w="310" w:type="pct"/>
            <w:tcBorders>
              <w:top w:val="single" w:sz="4" w:space="0" w:color="auto"/>
            </w:tcBorders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2015.6-2017.12</w:t>
            </w:r>
          </w:p>
        </w:tc>
        <w:tc>
          <w:tcPr>
            <w:tcW w:w="854" w:type="pct"/>
            <w:tcBorders>
              <w:top w:val="single" w:sz="4" w:space="0" w:color="auto"/>
            </w:tcBorders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erlotinib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+ </w:t>
            </w: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bevacizumab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(112)</w:t>
            </w:r>
          </w:p>
        </w:tc>
        <w:tc>
          <w:tcPr>
            <w:tcW w:w="853" w:type="pct"/>
            <w:tcBorders>
              <w:top w:val="single" w:sz="4" w:space="0" w:color="auto"/>
            </w:tcBorders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erlotinib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(112)</w:t>
            </w:r>
          </w:p>
        </w:tc>
        <w:tc>
          <w:tcPr>
            <w:tcW w:w="727" w:type="pct"/>
            <w:tcBorders>
              <w:top w:val="single" w:sz="4" w:space="0" w:color="auto"/>
            </w:tcBorders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0.61 (0.42-0.88)</w:t>
            </w:r>
          </w:p>
        </w:tc>
        <w:tc>
          <w:tcPr>
            <w:tcW w:w="726" w:type="pct"/>
            <w:tcBorders>
              <w:top w:val="single" w:sz="4" w:space="0" w:color="auto"/>
            </w:tcBorders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NEJ026 (UMIN000017069)</w:t>
            </w:r>
          </w:p>
        </w:tc>
        <w:tc>
          <w:tcPr>
            <w:tcW w:w="569" w:type="pct"/>
            <w:tcBorders>
              <w:top w:val="single" w:sz="4" w:space="0" w:color="auto"/>
            </w:tcBorders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19 del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56/55 PFS: 0.69 (0.41-1.16);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21 L858R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56/57 PFS: 0.57 (0.33-0.97)</w:t>
            </w:r>
          </w:p>
        </w:tc>
      </w:tr>
      <w:tr w:rsidR="003B2CA2" w:rsidRPr="00B6477B" w:rsidTr="00E768FB">
        <w:trPr>
          <w:trHeight w:val="967"/>
        </w:trPr>
        <w:tc>
          <w:tcPr>
            <w:tcW w:w="374" w:type="pct"/>
            <w:vMerge w:val="restar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Reck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et al, 2019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45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(multiple nations)*</w:t>
            </w:r>
          </w:p>
        </w:tc>
        <w:tc>
          <w:tcPr>
            <w:tcW w:w="225" w:type="pct"/>
            <w:vMerge w:val="restar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62" w:type="pct"/>
            <w:vMerge w:val="restar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10" w:type="pct"/>
            <w:vMerge w:val="restar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2015.3-2018.1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atezolizumab+bevacizumab+carboplatin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and paclitaxel (34)  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bevacizumab+carboplatin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and paclitaxel (45)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: 0.61 (0.36-1.03);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OS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</w:rPr>
              <w:t>: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0.61 (0.29-1.28)</w:t>
            </w:r>
          </w:p>
        </w:tc>
        <w:tc>
          <w:tcPr>
            <w:tcW w:w="726" w:type="pct"/>
            <w:vMerge w:val="restar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IMpower150 (NCT02366143)</w:t>
            </w:r>
          </w:p>
        </w:tc>
        <w:tc>
          <w:tcPr>
            <w:tcW w:w="569" w:type="pct"/>
            <w:vMerge w:val="restar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</w:tr>
      <w:tr w:rsidR="003B2CA2" w:rsidRPr="00B6477B" w:rsidTr="00E768FB">
        <w:trPr>
          <w:trHeight w:val="653"/>
        </w:trPr>
        <w:tc>
          <w:tcPr>
            <w:tcW w:w="374" w:type="pct"/>
            <w:vMerge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  <w:tc>
          <w:tcPr>
            <w:tcW w:w="225" w:type="pct"/>
            <w:vMerge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  <w:tc>
          <w:tcPr>
            <w:tcW w:w="362" w:type="pct"/>
            <w:vMerge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  <w:tc>
          <w:tcPr>
            <w:tcW w:w="310" w:type="pct"/>
            <w:vMerge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atezolizumab+carboplatin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and paclitaxel (45)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bevacizumab+carboplatin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and paclitaxel (45)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: 1.14 (0.73-1.78);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OS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0.93 (0.51-1.68)</w:t>
            </w:r>
          </w:p>
        </w:tc>
        <w:tc>
          <w:tcPr>
            <w:tcW w:w="726" w:type="pct"/>
            <w:vMerge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  <w:tc>
          <w:tcPr>
            <w:tcW w:w="569" w:type="pct"/>
            <w:vMerge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</w:tr>
      <w:tr w:rsidR="003B2CA2" w:rsidRPr="00B6477B" w:rsidTr="00E768FB">
        <w:trPr>
          <w:trHeight w:val="1020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Kelly et al, 2019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44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(America)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67.5 y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2016.2-2017.12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kern w:val="0"/>
                <w:sz w:val="22"/>
              </w:rPr>
              <w:t>naquotinib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(267)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gefitinib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/</w:t>
            </w: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erlotinib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(263)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1.61 (1.09-2.39)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NCT02588261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</w:tr>
      <w:tr w:rsidR="003B2CA2" w:rsidRPr="00B6477B" w:rsidTr="00E768FB">
        <w:trPr>
          <w:trHeight w:val="1290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Wu et al, 2018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43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(multiple nations)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58.4 y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CNS metastasis (116)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2014.8-2016.8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osimertinib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(75)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platinum-</w:t>
            </w: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pemetrexed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(41)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0.32 (0.15-0.69)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AURA3 (NCT02151981)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SimSun" w:eastAsia="SimSun" w:hAnsi="SimSun" w:cs="SimSun"/>
                <w:kern w:val="0"/>
                <w:sz w:val="22"/>
              </w:rPr>
            </w:pPr>
          </w:p>
        </w:tc>
      </w:tr>
      <w:tr w:rsidR="003B2CA2" w:rsidRPr="00B6477B" w:rsidTr="00E768FB">
        <w:trPr>
          <w:trHeight w:val="1515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Soria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et al, 2018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42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(multiple nations) 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64.0 y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CNS metastasis (116); Visceral metastasis (197)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2014.12-2016.3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osimertinib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(279)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gefitinib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/</w:t>
            </w: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erlotinib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(277)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: 0.46 (0.37-0.57);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OS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: 0.63 (0.45-0.88) 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FLAURA (NCT02296125)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19 del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175/174 PFS: 0.43 (0.32-0.56), 21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L858R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104/103 PFS: 0.51 (0.36-0.71)</w:t>
            </w:r>
          </w:p>
        </w:tc>
      </w:tr>
      <w:tr w:rsidR="003B2CA2" w:rsidRPr="00B6477B" w:rsidTr="00E768FB">
        <w:trPr>
          <w:trHeight w:val="1350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Mok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et al, 2018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41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(multiple nations)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61.5 y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2013.4-2016.7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dacomitinib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(227)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gefitinib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(225)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OS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0.76 (0.58-0.99)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ARCHER 1050 (NCT01774721)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 xml:space="preserve">19 del 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134/133 OS: 0.88 (0.61-1.26); 21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L858R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93/92 OS: 0.71 (0.48-1.05)</w:t>
            </w:r>
          </w:p>
        </w:tc>
      </w:tr>
      <w:tr w:rsidR="003B2CA2" w:rsidRPr="00B6477B" w:rsidTr="00E768FB">
        <w:trPr>
          <w:trHeight w:val="1263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lastRenderedPageBreak/>
              <w:t>Herbst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et al, 2018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40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(multiple nations)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63.0 y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2009.8-2014.5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cetuximab+paclitaxel+carboplatin+bevacizumab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(199)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cetuximab+paclitaxel+carboplatin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(201)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: 0.92 (0.75-1.12);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OS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0.81 (0.66-1.00)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SWOG S0819 (NCT00946712)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</w:tr>
      <w:tr w:rsidR="003B2CA2" w:rsidRPr="00B6477B" w:rsidTr="00E768FB">
        <w:trPr>
          <w:trHeight w:val="982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Yang et al, 2017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39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(China)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CNS metastasis (47)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2009.7-2014.7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erlotinib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(128)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gefitinib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(128) 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: 0.81 (0.62-1.05);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OS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0.84 (0.63-1.13)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CTONG 0901 (NCT01024413)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</w:tr>
      <w:tr w:rsidR="003B2CA2" w:rsidRPr="00B6477B" w:rsidTr="00E768FB">
        <w:trPr>
          <w:trHeight w:val="1320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Yang et al (2), 2017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38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(China)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57.5 y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CNS metastasis (158)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2012.12-2015.6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icotinib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(85)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WBRT (73)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: 0.56 (0.36-0.90);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OS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0.93 (0.60-1.44)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BRAIN (NCT01724801)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968E2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19 del</w:t>
            </w:r>
            <w:r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45/48 PFS: 0.39 (0.20-0.75);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21 L858R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36/21 PFS: 0.79 (0.37-1.67)</w:t>
            </w:r>
          </w:p>
        </w:tc>
      </w:tr>
      <w:tr w:rsidR="003B2CA2" w:rsidRPr="00B6477B" w:rsidTr="00E768FB">
        <w:trPr>
          <w:trHeight w:val="1320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Wu et al, 2017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37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(multiple nations)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61.5 y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2013.5-2015.3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dacomitinib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(227)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gefitinib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(225)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: 0.62 (0.50-0.78); 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ARCHER 1050 (NCT01774721)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19 del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 134/133 PFS: 0.55 (0.41-0.75);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21 L858R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93/92 PFS: 0.63 (0.44-0.88)</w:t>
            </w:r>
          </w:p>
        </w:tc>
      </w:tr>
      <w:tr w:rsidR="003B2CA2" w:rsidRPr="00B6477B" w:rsidTr="00E768FB">
        <w:trPr>
          <w:trHeight w:val="1255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Spigel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et al, 2017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36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(multiple nations)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2012.1-2013.8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onartuzumab+erlotinib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(28)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erlotinib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(29)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: 1.15 (0.48-2.76);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OS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4.68 (0.97-22.63)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METLung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(NCT01456325)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</w:tr>
      <w:tr w:rsidR="003B2CA2" w:rsidRPr="00B6477B" w:rsidTr="00E768FB">
        <w:trPr>
          <w:trHeight w:val="1620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Shi et al, 2017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35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(China)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56.0 y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CNS metastasis (81)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2013.1-2014.8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icotinib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(148)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cisplatin+pemetrexed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(137)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: 0.65 (0.48-0.88);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OS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1.03 (0.69-1.52)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CONVINCE 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19 del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80/74 PFS: 0.51 (0.34-0.76)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21 L858R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68/63 PFS: 0.90 (0.60-1.35);</w:t>
            </w:r>
          </w:p>
        </w:tc>
      </w:tr>
      <w:tr w:rsidR="003B2CA2" w:rsidRPr="00B6477B" w:rsidTr="00E768FB">
        <w:trPr>
          <w:trHeight w:val="1470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Mok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et al, 2017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34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(multiple nations) 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62.3 y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CNS metastasis (144); visceral metastasis (225)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2014.8-2015.9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osimertinib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(279)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pemetrexed+carboplatin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/</w:t>
            </w: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cisplatin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(140)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: 0.30 (0.23-0.41); 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AURA3 (NCT02151981)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19 del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191/87 PFS: 0.34 (0.24-0.46);21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L858R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83/45 PFS: 0.46 (0.30-0.71)</w:t>
            </w:r>
          </w:p>
        </w:tc>
      </w:tr>
      <w:tr w:rsidR="003B2CA2" w:rsidRPr="00B6477B" w:rsidTr="00E768FB">
        <w:trPr>
          <w:trHeight w:val="1263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lastRenderedPageBreak/>
              <w:t>Kubota et al, 2017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33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(multiple nations)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2012.7-2015.3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motesanib+paclitaxel+carboplatin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(41)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paclitaxel+carboplatin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(42)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0.57 (0.33-0.98)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AMG-706 (JPRN-</w:t>
            </w: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JapicCTI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-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br/>
              <w:t>121887)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</w:tr>
      <w:tr w:rsidR="003B2CA2" w:rsidRPr="00B6477B" w:rsidTr="00E768FB">
        <w:trPr>
          <w:trHeight w:val="1470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Urata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et al, 2016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32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(multiple nations)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67.5 y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2009.7-2012.10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erlotinib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(198)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gefitinib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(203)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1.09 (0.88-1.36)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WJOG 5108L (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19 del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102/90 PFS: 1.12 (0.81-1.54);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21 L858R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80/92 PFS: 0.94 (0.68-1.30)</w:t>
            </w:r>
          </w:p>
        </w:tc>
      </w:tr>
      <w:tr w:rsidR="003B2CA2" w:rsidRPr="00B6477B" w:rsidTr="00E768FB">
        <w:trPr>
          <w:trHeight w:val="2145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Park et al, 2016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31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(multiple nations)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63.0 y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adrenal glands (28); bone (153); liver (40); lung </w:t>
            </w: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ipsilateral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(174); lung contralateral (138); other (204) 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2011.12-2013.8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afatinib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(160)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gefitinib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(159)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: 0.73 (0.57-0.95); 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LUX-Lung 7 (NCT01466660)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19 del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93/93 PFS: 0.76 (0.55-1.06);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21 L858R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67/66 PFS: 0.71 (0.48-1.06) </w:t>
            </w:r>
          </w:p>
        </w:tc>
      </w:tr>
      <w:tr w:rsidR="003B2CA2" w:rsidRPr="00B6477B" w:rsidTr="00E768FB">
        <w:trPr>
          <w:trHeight w:val="1395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Cheng et al, 2016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30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(multiple nations)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61.7 y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2012.2-2013.8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gefitinib+pemetrexed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(126)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gefitinib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(65)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0.68 (0.48-0.96)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(NCT01469000)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19 del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65/40 PFS: 0.67 (0.43-1.05);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21 L858R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52/23 PFS: 0.58 (0.33-1.01)</w:t>
            </w:r>
          </w:p>
        </w:tc>
      </w:tr>
      <w:tr w:rsidR="003B2CA2" w:rsidRPr="00B6477B" w:rsidTr="00E768FB">
        <w:trPr>
          <w:trHeight w:val="1290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Zhou et al, 2015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29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(China)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2008.8-2012.7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erlotinib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(82)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gemcitabine+carboplatin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(72)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OS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1.19 (0.83-1.71)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CTONG-0802 (NCT00874419)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19 del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43/39 OS: 1.52 (0.92-2.52);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21 L858R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39/33 OS: 0.92 (0.55-1.54)</w:t>
            </w:r>
          </w:p>
        </w:tc>
      </w:tr>
      <w:tr w:rsidR="003B2CA2" w:rsidRPr="00B6477B" w:rsidTr="00E768FB">
        <w:trPr>
          <w:trHeight w:val="1380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lastRenderedPageBreak/>
              <w:t>Wu et al, 2015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28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(China)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56.8 y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2011.3-2012.6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erlotinib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(110)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gemcitabine/</w:t>
            </w: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cisplatin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(107)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0.34 (0.22-0.51)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ENSURE (NCT01342965)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 xml:space="preserve">19 del 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57/61 PFS: 0.20 (0.11-0.37);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21 L858R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52/46 PFS: 0.57 (0.31-1.05)</w:t>
            </w:r>
          </w:p>
        </w:tc>
      </w:tr>
      <w:tr w:rsidR="003B2CA2" w:rsidRPr="00B6477B" w:rsidTr="00E768FB">
        <w:trPr>
          <w:trHeight w:val="1515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Vansteenkiste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et al, 2015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27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(multiple nations)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2009.2-2013.7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cilengitide+cetuximab+platinum-based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chemotherapy (48)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cetuximab+platinum-based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chemotherapy (44)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: 0.57 (0.32-0.99);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OS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: 0.95 (0.56-1.61)  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CERTO (NCT00842712)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</w:tr>
      <w:tr w:rsidR="003B2CA2" w:rsidRPr="00B6477B" w:rsidTr="00E768FB">
        <w:trPr>
          <w:trHeight w:val="1257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Soria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et al, 2015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26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(multiple nations)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59.0 y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CNS metastasis (75); other (243)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2012.3-2013.12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gefitinib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(133)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placebo (132)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0.86 (0.65-1.13)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IMPRESS (NCT01544179)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</w:tr>
      <w:tr w:rsidR="003B2CA2" w:rsidRPr="00B6477B" w:rsidTr="00E768FB">
        <w:trPr>
          <w:trHeight w:val="1274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Scagliotti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et al, 2015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25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(multiple nations)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2011.1-2012.7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erlotinib+tivantinib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(56)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erlotinib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(53)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OS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0.72 (0.35-1.48)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ARQ 197 (NCT01244191)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</w:tr>
      <w:tr w:rsidR="003B2CA2" w:rsidRPr="00B6477B" w:rsidTr="00E768FB">
        <w:trPr>
          <w:trHeight w:val="1245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Yang et al, 2014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24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(multiple nations)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2009.12-2012.8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pemetrexed+cisplatin+gefitinib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(26)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gefitinib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(24)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: 0.83 (0.42-1.62) 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NCT01017874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</w:tr>
      <w:tr w:rsidR="003B2CA2" w:rsidRPr="00B6477B" w:rsidTr="00E768FB">
        <w:trPr>
          <w:trHeight w:val="1245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Wu et al, 2014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23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(multiple nations)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58.0 y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2010.8-2011.11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afatinib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(242)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cisplatin+gemcitabine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(122)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0.26 (0.19-0.36)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LUX-Lung 6 (NCT01121393)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19 del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124/62 PFS: 0.20 (0.13-0.33);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21 L858R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92/46 PFS: 0.32 (0.19-0.52)</w:t>
            </w:r>
          </w:p>
        </w:tc>
      </w:tr>
      <w:tr w:rsidR="003B2CA2" w:rsidRPr="00B6477B" w:rsidTr="00E768FB">
        <w:trPr>
          <w:trHeight w:val="1410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Seto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et al, 2014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22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(Japan)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67.0 y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2011.2-2012.3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erlotinib+bevacizumab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(75)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erlotinib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(77)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: 0.54 (0.36- 0.79);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OS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1.16 (0.45-3.00)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JO25567 (JapicCTI-111390)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19 del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40/40 PFS: 0.41 (0.24-0.72);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21 L858R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35/37 PFS: 0.67 (0.38-1.18)</w:t>
            </w:r>
          </w:p>
        </w:tc>
      </w:tr>
      <w:tr w:rsidR="003B2CA2" w:rsidRPr="00B6477B" w:rsidTr="00E768FB">
        <w:trPr>
          <w:trHeight w:val="1540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lastRenderedPageBreak/>
              <w:t>Ramalingam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et al, 2014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21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(multiple nations)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2011.6-2013.3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dacomitinib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(47)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erlotinib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(44)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: 1.04 (0.58-1.85);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OS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0.93 (0.39-2.19)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ARCHER 1009 (NCT01360554)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</w:tr>
      <w:tr w:rsidR="003B2CA2" w:rsidRPr="00B6477B" w:rsidTr="00E768FB">
        <w:trPr>
          <w:trHeight w:val="980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Kawaguchi et al, 2014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20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(Japan)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2009.8-2012.7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erlotinib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(21)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docetaxel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(30)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: 0.82 (0.43-1.53);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OS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0.38 (0.10-1.10)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DELTA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</w:tr>
      <w:tr w:rsidR="003B2CA2" w:rsidRPr="00B6477B" w:rsidTr="00E768FB">
        <w:trPr>
          <w:trHeight w:val="1395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Ellis et al, 2014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19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(multiple nations)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2009.12-2013.6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dacomitinib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(114)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placebo (68)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: 0.48 (0.35-0.66);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OS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0.98 (0.67-1.44)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NCIC CTG BR.26 (NCT01000025)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</w:tr>
      <w:tr w:rsidR="003B2CA2" w:rsidRPr="00B6477B" w:rsidTr="00E768FB">
        <w:trPr>
          <w:trHeight w:val="1305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Wu et al, 2013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18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(multiple nations)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2009.4-2010.9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erlotinib+gemcitabine+carboplatin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/</w:t>
            </w: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cisplatin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(49)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gemcitabine+carboplatin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/</w:t>
            </w: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cisplatin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(48)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0.25 (0.14-0.44)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FASTACT-2 (NCT00883779)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</w:tr>
      <w:tr w:rsidR="003B2CA2" w:rsidRPr="00B6477B" w:rsidTr="00E768FB">
        <w:trPr>
          <w:trHeight w:val="961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Shi et al, 2013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17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(China)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2009.2-2009.12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icotinib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(29)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erlotinib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(39) 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0.78 (0.47-1.28)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ICOGEN (ChiCTR-TRC-09000506)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</w:tr>
      <w:tr w:rsidR="003B2CA2" w:rsidRPr="00B6477B" w:rsidTr="00E768FB">
        <w:trPr>
          <w:trHeight w:val="975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Zhang et al, 2012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16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(China) 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53.0 y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2008.9-2009.8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gefitinib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(15)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placebo (15)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0.17 (0.07-0.42)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(INFORM; C-TONG 0804 (NCT00770588)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</w:tr>
      <w:tr w:rsidR="003B2CA2" w:rsidRPr="00B6477B" w:rsidTr="00E768FB">
        <w:trPr>
          <w:trHeight w:val="1365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Scagliotti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et al, 2012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15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(multiple nations)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2007.8-2009.2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sunitinib+erlotinib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(28)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erlotinib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(30)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: 1.19 (0.62-2.30);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OS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1.39 (0.76-2.57)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</w:tr>
      <w:tr w:rsidR="003B2CA2" w:rsidRPr="00B6477B" w:rsidTr="00E768FB">
        <w:trPr>
          <w:trHeight w:val="1500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Rosell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et al, 2012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14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(multiple nations)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63.8 y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CNS metastasis (20); bone metastasis (57)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2007.2-2011.1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erlotinib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(86)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cisplatin+docetaxel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/gemcitabine (87)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: 0.37 (0.25-0.54) 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EURTAC (NCT00446225)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19 del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57/58 PFS: 0.30 (0.18-0.50);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21 L858R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29/29 PFS: 0.55 (0.29-1.02)</w:t>
            </w:r>
          </w:p>
        </w:tc>
      </w:tr>
      <w:tr w:rsidR="003B2CA2" w:rsidRPr="00B6477B" w:rsidTr="00E768FB">
        <w:trPr>
          <w:trHeight w:val="1301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lastRenderedPageBreak/>
              <w:t>Pirker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et al, 2012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13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(multiple nations)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60.5 y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2007.2-2012.12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cetuximab+cisplatin+vinorelbine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(178)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cisplatin+vinorelbine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(167)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: 0.86 (0.68-1.09);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OS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0.73 (0.58-0.93)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FLEX (NCT00148798)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</w:tr>
      <w:tr w:rsidR="003B2CA2" w:rsidRPr="00B6477B" w:rsidTr="00E768FB">
        <w:trPr>
          <w:trHeight w:val="1262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Miller et al, 2012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12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</w:t>
            </w: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multipke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nations)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2008.5-2009.9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afatinib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(62)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placebo (34)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: 0.51 (0.31-0.85);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OS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1.65 (0.89-3.04)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LUX-Lung 1 (NCT00656136)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</w:tr>
      <w:tr w:rsidR="003B2CA2" w:rsidRPr="00B6477B" w:rsidTr="00E768FB">
        <w:trPr>
          <w:trHeight w:val="1320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Gridelli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et al, 2012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11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(multiple nations)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2006.12-2009.11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erlotinib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(19)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cisplatin+gemcitabine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(20)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: 1.71 (0.82-3.60);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OS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1.13 (0.32-3.96)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TORCH (NCT00349219)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</w:tr>
      <w:tr w:rsidR="003B2CA2" w:rsidRPr="00B6477B" w:rsidTr="00E768FB">
        <w:trPr>
          <w:trHeight w:val="926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Zhou et al, 2011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10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 (China)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57.9 y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2008.8-2009.7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erlotinib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(82)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gemcitabine+carboplatin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(72)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0.16 (0.10-0.26)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OPTIMAL (NCT00874419)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19 del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PFS: 0.13 (0.07-0.25);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21 L858R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PFS: 0.26 (0.14-0.49)</w:t>
            </w:r>
          </w:p>
        </w:tc>
      </w:tr>
      <w:tr w:rsidR="003B2CA2" w:rsidRPr="00B6477B" w:rsidTr="00E768FB">
        <w:trPr>
          <w:trHeight w:val="945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Maemondo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et al, 2010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9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(Japan)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63.3 y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2006.3-2009.5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gefitinib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(114)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carboplatin+paclitaxel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(114)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: 0.30 (0.22-0.41);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OS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0.75 (0.49-1.17)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(UMIN-CTR number,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br/>
              <w:t>C000000376)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</w:tr>
      <w:tr w:rsidR="003B2CA2" w:rsidRPr="00B6477B" w:rsidTr="00E768FB">
        <w:trPr>
          <w:trHeight w:val="1200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</w:rPr>
              <w:t>Mok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et al, 2009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8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(multiple </w:t>
            </w: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natiions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2006.3-2007.10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gefitinib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(132)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carboplatin+paclitaxel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(129)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0.48 (0.36-0.64)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IPASS (NCT00322452)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</w:tr>
      <w:tr w:rsidR="003B2CA2" w:rsidRPr="00B6477B" w:rsidTr="00E768FB">
        <w:trPr>
          <w:trHeight w:val="1365"/>
        </w:trPr>
        <w:tc>
          <w:tcPr>
            <w:tcW w:w="37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Goss et al, 2009</w:t>
            </w:r>
            <w:r>
              <w:rPr>
                <w:rFonts w:ascii="Times New Roman" w:hAnsi="Times New Roman" w:cs="Times New Roman" w:hint="eastAsia"/>
                <w:noProof/>
                <w:sz w:val="22"/>
                <w:vertAlign w:val="superscript"/>
              </w:rPr>
              <w:t>7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 (multiple nations)</w:t>
            </w:r>
          </w:p>
        </w:tc>
        <w:tc>
          <w:tcPr>
            <w:tcW w:w="225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62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10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2004.9-2006.12</w:t>
            </w:r>
          </w:p>
        </w:tc>
        <w:tc>
          <w:tcPr>
            <w:tcW w:w="854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gefitinib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(12)</w:t>
            </w:r>
          </w:p>
        </w:tc>
        <w:tc>
          <w:tcPr>
            <w:tcW w:w="853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placebo (20)</w:t>
            </w:r>
          </w:p>
        </w:tc>
        <w:tc>
          <w:tcPr>
            <w:tcW w:w="727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: 0.29 (0.11-0.73);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OS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0.44 (0.17-1.12)</w:t>
            </w:r>
          </w:p>
        </w:tc>
        <w:tc>
          <w:tcPr>
            <w:tcW w:w="726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INSTEP (NCT00259064)</w:t>
            </w:r>
          </w:p>
        </w:tc>
        <w:tc>
          <w:tcPr>
            <w:tcW w:w="569" w:type="pct"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</w:tr>
      <w:tr w:rsidR="003B2CA2" w:rsidRPr="00B6477B" w:rsidTr="00E768FB">
        <w:trPr>
          <w:trHeight w:val="1365"/>
        </w:trPr>
        <w:tc>
          <w:tcPr>
            <w:tcW w:w="374" w:type="pct"/>
            <w:tcBorders>
              <w:bottom w:val="single" w:sz="4" w:space="0" w:color="auto"/>
            </w:tcBorders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Crino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et al, 2008</w:t>
            </w:r>
            <w:r w:rsidRPr="00357EB1">
              <w:rPr>
                <w:rFonts w:ascii="Times New Roman" w:hAnsi="Times New Roman" w:cs="Times New Roman"/>
                <w:noProof/>
                <w:sz w:val="22"/>
                <w:vertAlign w:val="superscript"/>
              </w:rPr>
              <w:t>6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 (multiple nations)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74.0 y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2004.7-2005.12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gefitinib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(30)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spellStart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vinorelbine</w:t>
            </w:r>
            <w:proofErr w:type="spellEnd"/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(24)</w:t>
            </w:r>
          </w:p>
        </w:tc>
        <w:tc>
          <w:tcPr>
            <w:tcW w:w="727" w:type="pct"/>
            <w:tcBorders>
              <w:bottom w:val="single" w:sz="4" w:space="0" w:color="auto"/>
            </w:tcBorders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PFS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: 3.13 (1.45-6.76); </w:t>
            </w:r>
            <w:r w:rsidRPr="00F83C2D">
              <w:rPr>
                <w:rFonts w:ascii="Times New Roman" w:eastAsia="SimSun" w:hAnsi="Times New Roman" w:cs="Times New Roman"/>
                <w:b/>
                <w:kern w:val="0"/>
                <w:sz w:val="22"/>
              </w:rPr>
              <w:t>OS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: 2.88 (1.21-6.83)</w:t>
            </w:r>
          </w:p>
        </w:tc>
        <w:tc>
          <w:tcPr>
            <w:tcW w:w="726" w:type="pct"/>
            <w:tcBorders>
              <w:bottom w:val="single" w:sz="4" w:space="0" w:color="auto"/>
            </w:tcBorders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INVITE (NCT00256711)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</w:tr>
      <w:tr w:rsidR="003B2CA2" w:rsidRPr="00F83C2D" w:rsidTr="00E768FB">
        <w:trPr>
          <w:trHeight w:val="345"/>
        </w:trPr>
        <w:tc>
          <w:tcPr>
            <w:tcW w:w="5000" w:type="pct"/>
            <w:gridSpan w:val="9"/>
            <w:vMerge w:val="restart"/>
            <w:tcBorders>
              <w:top w:val="single" w:sz="4" w:space="0" w:color="auto"/>
            </w:tcBorders>
            <w:hideMark/>
          </w:tcPr>
          <w:p w:rsidR="009C7C35" w:rsidRDefault="009C7C35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2"/>
              </w:rPr>
              <w:t>Reference list number of each include study is consistent with the main body text and has been presented in the main body text.</w:t>
            </w:r>
          </w:p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lastRenderedPageBreak/>
              <w:t>* This trial has three arms that w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</w:rPr>
              <w:t>ere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rep</w:t>
            </w:r>
            <w:r>
              <w:rPr>
                <w:rFonts w:ascii="Times New Roman" w:eastAsia="SimSun" w:hAnsi="Times New Roman" w:cs="Times New Roman"/>
                <w:kern w:val="0"/>
                <w:sz w:val="22"/>
              </w:rPr>
              <w:t>orted respectively in the table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</w:rPr>
              <w:t>;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</w:rPr>
              <w:t xml:space="preserve">                                                                                           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‡ EGFR common mutation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</w:rPr>
              <w:t>s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include exon 19 deletion and exon 21 Leu858Arg mutation.      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</w:rPr>
              <w:t xml:space="preserve">                                                                       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Abbreviations: </w:t>
            </w:r>
            <w:r>
              <w:rPr>
                <w:rFonts w:ascii="Times New Roman" w:eastAsia="SimSun" w:hAnsi="Times New Roman" w:cs="Times New Roman"/>
                <w:kern w:val="0"/>
                <w:sz w:val="22"/>
              </w:rPr>
              <w:t>EGFR, epiderm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>al growth factor receptor; HR, hazard ratio; CI, confidence interv</w:t>
            </w:r>
            <w:r>
              <w:rPr>
                <w:rFonts w:ascii="Times New Roman" w:eastAsia="SimSun" w:hAnsi="Times New Roman" w:cs="Times New Roman"/>
                <w:kern w:val="0"/>
                <w:sz w:val="22"/>
              </w:rPr>
              <w:t>al;  OS, overall survival; PFS,</w:t>
            </w:r>
            <w:r>
              <w:t xml:space="preserve"> </w:t>
            </w:r>
            <w:r>
              <w:rPr>
                <w:rFonts w:ascii="Times New Roman" w:eastAsia="SimSun" w:hAnsi="Times New Roman" w:cs="Times New Roman"/>
                <w:kern w:val="0"/>
                <w:sz w:val="22"/>
              </w:rPr>
              <w:t>progression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</w:rPr>
              <w:t>-</w:t>
            </w:r>
            <w:r w:rsidRPr="00F83C2D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free survival; CNS, central nerve system; WBRT, whole brain radiotherapy; NA, not available. </w:t>
            </w:r>
          </w:p>
        </w:tc>
      </w:tr>
      <w:tr w:rsidR="003B2CA2" w:rsidRPr="00F83C2D" w:rsidTr="00E768FB">
        <w:trPr>
          <w:trHeight w:val="315"/>
        </w:trPr>
        <w:tc>
          <w:tcPr>
            <w:tcW w:w="5000" w:type="pct"/>
            <w:gridSpan w:val="9"/>
            <w:vMerge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</w:tr>
      <w:tr w:rsidR="003B2CA2" w:rsidRPr="00F83C2D" w:rsidTr="00E768FB">
        <w:trPr>
          <w:trHeight w:val="345"/>
        </w:trPr>
        <w:tc>
          <w:tcPr>
            <w:tcW w:w="5000" w:type="pct"/>
            <w:gridSpan w:val="9"/>
            <w:vMerge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</w:tr>
      <w:tr w:rsidR="003B2CA2" w:rsidRPr="00F83C2D" w:rsidTr="00E768FB">
        <w:trPr>
          <w:trHeight w:val="315"/>
        </w:trPr>
        <w:tc>
          <w:tcPr>
            <w:tcW w:w="5000" w:type="pct"/>
            <w:gridSpan w:val="9"/>
            <w:vMerge/>
            <w:hideMark/>
          </w:tcPr>
          <w:p w:rsidR="003B2CA2" w:rsidRPr="00F83C2D" w:rsidRDefault="003B2CA2" w:rsidP="00E768F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</w:tr>
    </w:tbl>
    <w:p w:rsidR="00265C80" w:rsidRPr="006543AE" w:rsidRDefault="00265C80" w:rsidP="00E33C0A">
      <w:pPr>
        <w:rPr>
          <w:rFonts w:ascii="Times New Roman" w:hAnsi="Times New Roman" w:cs="Times New Roman"/>
          <w:sz w:val="22"/>
        </w:rPr>
      </w:pPr>
    </w:p>
    <w:sectPr w:rsidR="00265C80" w:rsidRPr="006543AE" w:rsidSect="00492013">
      <w:pgSz w:w="16838" w:h="11906" w:orient="landscape"/>
      <w:pgMar w:top="720" w:right="851" w:bottom="726" w:left="72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A69" w:rsidRDefault="00DB6A69" w:rsidP="00100087">
      <w:r>
        <w:separator/>
      </w:r>
    </w:p>
  </w:endnote>
  <w:endnote w:type="continuationSeparator" w:id="0">
    <w:p w:rsidR="00DB6A69" w:rsidRDefault="00DB6A69" w:rsidP="0010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A69" w:rsidRDefault="00DB6A69" w:rsidP="00100087">
      <w:r>
        <w:separator/>
      </w:r>
    </w:p>
  </w:footnote>
  <w:footnote w:type="continuationSeparator" w:id="0">
    <w:p w:rsidR="00DB6A69" w:rsidRDefault="00DB6A69" w:rsidP="00100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7B2C"/>
    <w:rsid w:val="00056861"/>
    <w:rsid w:val="00064F43"/>
    <w:rsid w:val="000C2803"/>
    <w:rsid w:val="000E2E69"/>
    <w:rsid w:val="000E647A"/>
    <w:rsid w:val="00100087"/>
    <w:rsid w:val="00127370"/>
    <w:rsid w:val="00147B2C"/>
    <w:rsid w:val="00154640"/>
    <w:rsid w:val="001940D5"/>
    <w:rsid w:val="001E68D7"/>
    <w:rsid w:val="001F7E82"/>
    <w:rsid w:val="00265C80"/>
    <w:rsid w:val="002701F8"/>
    <w:rsid w:val="00313B83"/>
    <w:rsid w:val="00341901"/>
    <w:rsid w:val="00381D33"/>
    <w:rsid w:val="003B2CA2"/>
    <w:rsid w:val="00427902"/>
    <w:rsid w:val="00433AB7"/>
    <w:rsid w:val="00465AD1"/>
    <w:rsid w:val="00492013"/>
    <w:rsid w:val="0052643C"/>
    <w:rsid w:val="005A3BED"/>
    <w:rsid w:val="005B1D87"/>
    <w:rsid w:val="0061172A"/>
    <w:rsid w:val="00611EF3"/>
    <w:rsid w:val="006142CC"/>
    <w:rsid w:val="006543AE"/>
    <w:rsid w:val="006E7E49"/>
    <w:rsid w:val="007010EF"/>
    <w:rsid w:val="00784883"/>
    <w:rsid w:val="0081118E"/>
    <w:rsid w:val="008559C6"/>
    <w:rsid w:val="008F532B"/>
    <w:rsid w:val="00961300"/>
    <w:rsid w:val="009C7C35"/>
    <w:rsid w:val="00A54259"/>
    <w:rsid w:val="00A57A34"/>
    <w:rsid w:val="00AE0B41"/>
    <w:rsid w:val="00AF3C7D"/>
    <w:rsid w:val="00B8147C"/>
    <w:rsid w:val="00CB7481"/>
    <w:rsid w:val="00CD13C4"/>
    <w:rsid w:val="00D64E73"/>
    <w:rsid w:val="00D91177"/>
    <w:rsid w:val="00DB6A69"/>
    <w:rsid w:val="00DC51D7"/>
    <w:rsid w:val="00E33C0A"/>
    <w:rsid w:val="00E4170B"/>
    <w:rsid w:val="00E752F4"/>
    <w:rsid w:val="00E87B63"/>
    <w:rsid w:val="00EA0FDF"/>
    <w:rsid w:val="00EB1D5A"/>
    <w:rsid w:val="00F2281C"/>
    <w:rsid w:val="00F3215F"/>
    <w:rsid w:val="00F40FD0"/>
    <w:rsid w:val="00F62A2A"/>
    <w:rsid w:val="00F716E5"/>
    <w:rsid w:val="00F87920"/>
    <w:rsid w:val="00F960DA"/>
    <w:rsid w:val="00FA17F8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B2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147B2C"/>
    <w:rPr>
      <w:color w:val="000000" w:themeColor="text1" w:themeShade="BF"/>
      <w:kern w:val="0"/>
      <w:sz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CB748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B7481"/>
    <w:rPr>
      <w:b/>
      <w:bCs/>
    </w:rPr>
  </w:style>
  <w:style w:type="table" w:customStyle="1" w:styleId="LightList1">
    <w:name w:val="Light List1"/>
    <w:basedOn w:val="TableNormal"/>
    <w:uiPriority w:val="61"/>
    <w:rsid w:val="00CB7481"/>
    <w:rPr>
      <w:kern w:val="0"/>
      <w:sz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100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00087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100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00087"/>
    <w:rPr>
      <w:sz w:val="18"/>
      <w:szCs w:val="18"/>
    </w:rPr>
  </w:style>
  <w:style w:type="paragraph" w:customStyle="1" w:styleId="Default">
    <w:name w:val="Default"/>
    <w:rsid w:val="00F2281C"/>
    <w:pPr>
      <w:widowControl w:val="0"/>
      <w:autoSpaceDE w:val="0"/>
      <w:autoSpaceDN w:val="0"/>
      <w:adjustRightInd w:val="0"/>
    </w:pPr>
    <w:rPr>
      <w:rFonts w:ascii="Calibri" w:eastAsia="SimSun" w:hAnsi="Calibri" w:cs="Calibri"/>
      <w:color w:val="000000"/>
      <w:kern w:val="0"/>
      <w:sz w:val="24"/>
      <w:szCs w:val="24"/>
      <w:lang w:val="en-CA" w:eastAsia="en-CA"/>
    </w:rPr>
  </w:style>
  <w:style w:type="table" w:styleId="TableGrid">
    <w:name w:val="Table Grid"/>
    <w:basedOn w:val="TableNormal"/>
    <w:uiPriority w:val="59"/>
    <w:rsid w:val="003B2C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">
    <w:name w:val="EndNote Bibliography"/>
    <w:basedOn w:val="Normal"/>
    <w:link w:val="EndNoteBibliographyChar"/>
    <w:rsid w:val="00265C80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265C80"/>
    <w:rPr>
      <w:rFonts w:ascii="Calibri" w:hAnsi="Calibri" w:cs="Calibri"/>
      <w:noProof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AD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A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14AC7-1001-47F5-AE70-5089E391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7</Pages>
  <Words>1367</Words>
  <Characters>7794</Characters>
  <Application>Microsoft Office Word</Application>
  <DocSecurity>0</DocSecurity>
  <Lines>64</Lines>
  <Paragraphs>18</Paragraphs>
  <ScaleCrop>false</ScaleCrop>
  <Company>admin</Company>
  <LinksUpToDate>false</LinksUpToDate>
  <CharactersWithSpaces>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 10</cp:lastModifiedBy>
  <cp:revision>35</cp:revision>
  <dcterms:created xsi:type="dcterms:W3CDTF">2019-09-22T12:32:00Z</dcterms:created>
  <dcterms:modified xsi:type="dcterms:W3CDTF">2020-04-12T12:44:00Z</dcterms:modified>
</cp:coreProperties>
</file>