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CA" w:rsidRPr="00BA617D" w:rsidRDefault="003332CA" w:rsidP="003332CA">
      <w:pPr>
        <w:spacing w:line="480" w:lineRule="auto"/>
        <w:rPr>
          <w:rFonts w:ascii="Times New Roman" w:eastAsia="等线" w:hAnsi="Times New Roman" w:cs="Times New Roman"/>
          <w:b/>
        </w:rPr>
      </w:pPr>
      <w:r w:rsidRPr="007B49E4">
        <w:rPr>
          <w:rFonts w:ascii="Times New Roman" w:eastAsia="等线" w:hAnsi="Times New Roman" w:cs="Times New Roman"/>
          <w:b/>
        </w:rPr>
        <w:t xml:space="preserve">Supplementary </w:t>
      </w:r>
      <w:r w:rsidR="00961C36">
        <w:rPr>
          <w:rFonts w:ascii="Times New Roman" w:eastAsia="等线" w:hAnsi="Times New Roman" w:cs="Times New Roman"/>
          <w:b/>
        </w:rPr>
        <w:t>T</w:t>
      </w:r>
      <w:bookmarkStart w:id="0" w:name="_GoBack"/>
      <w:bookmarkEnd w:id="0"/>
      <w:r w:rsidRPr="007B49E4">
        <w:rPr>
          <w:rFonts w:ascii="Times New Roman" w:eastAsia="等线" w:hAnsi="Times New Roman" w:cs="Times New Roman"/>
          <w:b/>
        </w:rPr>
        <w:t xml:space="preserve">able </w:t>
      </w:r>
      <w:r>
        <w:rPr>
          <w:rFonts w:ascii="Times New Roman" w:eastAsia="等线" w:hAnsi="Times New Roman" w:cs="Times New Roman"/>
          <w:b/>
        </w:rPr>
        <w:t>4</w:t>
      </w:r>
      <w:r w:rsidRPr="007B49E4">
        <w:rPr>
          <w:rFonts w:ascii="Times New Roman" w:eastAsia="等线" w:hAnsi="Times New Roman" w:cs="Times New Roman"/>
          <w:b/>
        </w:rPr>
        <w:t xml:space="preserve"> </w:t>
      </w:r>
      <w:r w:rsidRPr="007B49E4">
        <w:rPr>
          <w:rFonts w:ascii="Times New Roman" w:eastAsia="等线" w:hAnsi="Times New Roman" w:cs="Times New Roman"/>
        </w:rPr>
        <w:t>Causes of death for CRC patients between 1975 and 2016 in SEER 18 registries</w:t>
      </w:r>
      <w:r>
        <w:rPr>
          <w:rFonts w:ascii="Times New Roman" w:eastAsia="等线" w:hAnsi="Times New Roman" w:cs="Times New Roman"/>
        </w:rPr>
        <w:t xml:space="preserve"> by cancer stage</w:t>
      </w:r>
      <w:r w:rsidRPr="007B49E4">
        <w:rPr>
          <w:rFonts w:ascii="Times New Roman" w:eastAsia="等线" w:hAnsi="Times New Roman" w:cs="Times New Roman"/>
        </w:rPr>
        <w:t>.</w:t>
      </w:r>
    </w:p>
    <w:tbl>
      <w:tblPr>
        <w:tblW w:w="18286" w:type="dxa"/>
        <w:tblLook w:val="04A0" w:firstRow="1" w:lastRow="0" w:firstColumn="1" w:lastColumn="0" w:noHBand="0" w:noVBand="1"/>
      </w:tblPr>
      <w:tblGrid>
        <w:gridCol w:w="3545"/>
        <w:gridCol w:w="1701"/>
        <w:gridCol w:w="1701"/>
        <w:gridCol w:w="283"/>
        <w:gridCol w:w="1701"/>
        <w:gridCol w:w="1701"/>
        <w:gridCol w:w="284"/>
        <w:gridCol w:w="1984"/>
        <w:gridCol w:w="1843"/>
        <w:gridCol w:w="235"/>
        <w:gridCol w:w="1607"/>
        <w:gridCol w:w="1701"/>
      </w:tblGrid>
      <w:tr w:rsidR="003332CA" w:rsidRPr="00F02604" w:rsidTr="00D87BA0">
        <w:trPr>
          <w:trHeight w:val="285"/>
        </w:trPr>
        <w:tc>
          <w:tcPr>
            <w:tcW w:w="3545" w:type="dxa"/>
            <w:vMerge w:val="restart"/>
            <w:tcBorders>
              <w:top w:val="single" w:sz="4" w:space="0" w:color="auto"/>
              <w:left w:val="nil"/>
              <w:right w:val="nil"/>
            </w:tcBorders>
            <w:shd w:val="clear" w:color="auto" w:fill="auto"/>
            <w:noWrap/>
            <w:vAlign w:val="center"/>
          </w:tcPr>
          <w:p w:rsidR="003332CA" w:rsidRDefault="003332CA" w:rsidP="00D87BA0">
            <w:pPr>
              <w:jc w:val="center"/>
              <w:rPr>
                <w:rFonts w:ascii="Times New Roman" w:eastAsia="等线" w:hAnsi="Times New Roman" w:cs="Times New Roman"/>
                <w:color w:val="000000"/>
              </w:rPr>
            </w:pPr>
            <w:r>
              <w:rPr>
                <w:rFonts w:ascii="Times New Roman" w:eastAsia="等线" w:hAnsi="Times New Roman" w:cs="Times New Roman"/>
                <w:color w:val="000000"/>
              </w:rPr>
              <w:t>Cause of death</w:t>
            </w:r>
          </w:p>
        </w:tc>
        <w:tc>
          <w:tcPr>
            <w:tcW w:w="14741" w:type="dxa"/>
            <w:gridSpan w:val="11"/>
            <w:tcBorders>
              <w:top w:val="single" w:sz="4" w:space="0" w:color="auto"/>
              <w:left w:val="nil"/>
              <w:bottom w:val="single" w:sz="4" w:space="0" w:color="auto"/>
              <w:right w:val="nil"/>
            </w:tcBorders>
            <w:shd w:val="clear" w:color="auto" w:fill="auto"/>
            <w:noWrap/>
            <w:vAlign w:val="center"/>
          </w:tcPr>
          <w:p w:rsidR="003332CA" w:rsidRPr="00F02604"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S</w:t>
            </w:r>
            <w:r>
              <w:rPr>
                <w:rFonts w:ascii="Times New Roman" w:eastAsia="等线" w:hAnsi="Times New Roman" w:cs="Times New Roman"/>
                <w:color w:val="000000"/>
              </w:rPr>
              <w:t>tage</w:t>
            </w:r>
          </w:p>
        </w:tc>
      </w:tr>
      <w:tr w:rsidR="003332CA" w:rsidRPr="00F02604" w:rsidTr="00D87BA0">
        <w:trPr>
          <w:trHeight w:val="285"/>
        </w:trPr>
        <w:tc>
          <w:tcPr>
            <w:tcW w:w="3545" w:type="dxa"/>
            <w:vMerge/>
            <w:tcBorders>
              <w:left w:val="nil"/>
              <w:right w:val="nil"/>
            </w:tcBorders>
            <w:shd w:val="clear" w:color="auto" w:fill="auto"/>
            <w:noWrap/>
            <w:vAlign w:val="center"/>
            <w:hideMark/>
          </w:tcPr>
          <w:p w:rsidR="003332CA" w:rsidRPr="00C83719" w:rsidRDefault="003332CA" w:rsidP="00D87BA0">
            <w:pPr>
              <w:jc w:val="center"/>
              <w:rPr>
                <w:rFonts w:ascii="Times New Roman" w:eastAsia="SimSun" w:hAnsi="Times New Roman" w:cs="Times New Roman"/>
              </w:rPr>
            </w:pPr>
          </w:p>
        </w:tc>
        <w:tc>
          <w:tcPr>
            <w:tcW w:w="3402" w:type="dxa"/>
            <w:gridSpan w:val="2"/>
            <w:tcBorders>
              <w:top w:val="single" w:sz="4" w:space="0" w:color="auto"/>
              <w:left w:val="nil"/>
              <w:bottom w:val="single" w:sz="4" w:space="0" w:color="auto"/>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In situ</w:t>
            </w:r>
          </w:p>
        </w:tc>
        <w:tc>
          <w:tcPr>
            <w:tcW w:w="283" w:type="dxa"/>
            <w:tcBorders>
              <w:top w:val="single" w:sz="4" w:space="0" w:color="auto"/>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3402" w:type="dxa"/>
            <w:gridSpan w:val="2"/>
            <w:tcBorders>
              <w:top w:val="single" w:sz="4" w:space="0" w:color="auto"/>
              <w:left w:val="nil"/>
              <w:bottom w:val="single" w:sz="4" w:space="0" w:color="auto"/>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Localized</w:t>
            </w:r>
          </w:p>
        </w:tc>
        <w:tc>
          <w:tcPr>
            <w:tcW w:w="284" w:type="dxa"/>
            <w:tcBorders>
              <w:top w:val="single" w:sz="4" w:space="0" w:color="auto"/>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3827" w:type="dxa"/>
            <w:gridSpan w:val="2"/>
            <w:tcBorders>
              <w:top w:val="single" w:sz="4" w:space="0" w:color="auto"/>
              <w:left w:val="nil"/>
              <w:bottom w:val="single" w:sz="4" w:space="0" w:color="auto"/>
              <w:right w:val="nil"/>
            </w:tcBorders>
            <w:shd w:val="clear" w:color="auto" w:fill="auto"/>
            <w:noWrap/>
            <w:vAlign w:val="center"/>
            <w:hideMark/>
          </w:tcPr>
          <w:p w:rsidR="003332CA" w:rsidRPr="00C83719" w:rsidRDefault="003332CA" w:rsidP="00D87BA0">
            <w:pPr>
              <w:jc w:val="center"/>
              <w:rPr>
                <w:rFonts w:ascii="Times New Roman" w:eastAsia="Times New Roman" w:hAnsi="Times New Roman" w:cs="Times New Roman"/>
              </w:rPr>
            </w:pPr>
            <w:r w:rsidRPr="00F02604">
              <w:rPr>
                <w:rFonts w:ascii="Times New Roman" w:eastAsia="等线" w:hAnsi="Times New Roman" w:cs="Times New Roman"/>
                <w:color w:val="000000"/>
              </w:rPr>
              <w:t>Regional</w:t>
            </w:r>
          </w:p>
        </w:tc>
        <w:tc>
          <w:tcPr>
            <w:tcW w:w="235" w:type="dxa"/>
            <w:tcBorders>
              <w:top w:val="single" w:sz="4" w:space="0" w:color="auto"/>
              <w:left w:val="nil"/>
              <w:bottom w:val="nil"/>
              <w:right w:val="nil"/>
            </w:tcBorders>
          </w:tcPr>
          <w:p w:rsidR="003332CA" w:rsidRPr="00C83719" w:rsidRDefault="003332CA" w:rsidP="00D87BA0">
            <w:pPr>
              <w:jc w:val="center"/>
              <w:rPr>
                <w:rFonts w:ascii="Times New Roman" w:eastAsia="Times New Roman" w:hAnsi="Times New Roman" w:cs="Times New Roman"/>
              </w:rPr>
            </w:pPr>
          </w:p>
        </w:tc>
        <w:tc>
          <w:tcPr>
            <w:tcW w:w="3308" w:type="dxa"/>
            <w:gridSpan w:val="2"/>
            <w:tcBorders>
              <w:top w:val="single" w:sz="4" w:space="0" w:color="auto"/>
              <w:left w:val="nil"/>
              <w:bottom w:val="single" w:sz="4" w:space="0" w:color="auto"/>
              <w:right w:val="nil"/>
            </w:tcBorders>
            <w:vAlign w:val="center"/>
          </w:tcPr>
          <w:p w:rsidR="003332CA" w:rsidRPr="00C83719" w:rsidRDefault="003332CA" w:rsidP="00D87BA0">
            <w:pPr>
              <w:jc w:val="center"/>
              <w:rPr>
                <w:rFonts w:ascii="Times New Roman" w:eastAsia="Times New Roman" w:hAnsi="Times New Roman" w:cs="Times New Roman"/>
              </w:rPr>
            </w:pPr>
            <w:r w:rsidRPr="00F02604">
              <w:rPr>
                <w:rFonts w:ascii="Times New Roman" w:eastAsia="等线" w:hAnsi="Times New Roman" w:cs="Times New Roman"/>
                <w:color w:val="000000"/>
              </w:rPr>
              <w:t>Distant</w:t>
            </w:r>
          </w:p>
        </w:tc>
      </w:tr>
      <w:tr w:rsidR="003332CA" w:rsidRPr="00F02604" w:rsidTr="00D87BA0">
        <w:trPr>
          <w:trHeight w:val="285"/>
        </w:trPr>
        <w:tc>
          <w:tcPr>
            <w:tcW w:w="3545" w:type="dxa"/>
            <w:vMerge/>
            <w:tcBorders>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single" w:sz="4" w:space="0" w:color="auto"/>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Mortality rates (per 100,000 person-years)</w:t>
            </w:r>
          </w:p>
        </w:tc>
        <w:tc>
          <w:tcPr>
            <w:tcW w:w="1701" w:type="dxa"/>
            <w:tcBorders>
              <w:top w:val="single" w:sz="4" w:space="0" w:color="auto"/>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SMR</w:t>
            </w:r>
            <w:r w:rsidRPr="00F02604">
              <w:rPr>
                <w:rFonts w:ascii="Times New Roman" w:eastAsia="等线" w:hAnsi="Times New Roman" w:cs="Times New Roman"/>
                <w:color w:val="000000"/>
                <w:vertAlign w:val="superscript"/>
              </w:rPr>
              <w:t>1,2</w:t>
            </w:r>
            <w:r w:rsidRPr="00F02604">
              <w:rPr>
                <w:rFonts w:ascii="Times New Roman" w:eastAsia="等线" w:hAnsi="Times New Roman" w:cs="Times New Roman"/>
                <w:color w:val="000000"/>
              </w:rPr>
              <w:t xml:space="preserve"> (95% CI)</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single" w:sz="4" w:space="0" w:color="auto"/>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Mortality rates (per 100,000 person-years)</w:t>
            </w:r>
          </w:p>
        </w:tc>
        <w:tc>
          <w:tcPr>
            <w:tcW w:w="1701" w:type="dxa"/>
            <w:tcBorders>
              <w:top w:val="single" w:sz="4" w:space="0" w:color="auto"/>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SMR</w:t>
            </w:r>
            <w:r w:rsidRPr="00F02604">
              <w:rPr>
                <w:rFonts w:ascii="Times New Roman" w:eastAsia="等线" w:hAnsi="Times New Roman" w:cs="Times New Roman"/>
                <w:color w:val="000000"/>
                <w:vertAlign w:val="superscript"/>
              </w:rPr>
              <w:t>1,2</w:t>
            </w:r>
            <w:r w:rsidRPr="00F02604">
              <w:rPr>
                <w:rFonts w:ascii="Times New Roman" w:eastAsia="等线" w:hAnsi="Times New Roman" w:cs="Times New Roman"/>
                <w:color w:val="000000"/>
              </w:rPr>
              <w:t xml:space="preserve"> (95% CI)</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single" w:sz="4" w:space="0" w:color="auto"/>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Mortality rates (per 100,000 person-years)</w:t>
            </w:r>
          </w:p>
        </w:tc>
        <w:tc>
          <w:tcPr>
            <w:tcW w:w="1843" w:type="dxa"/>
            <w:tcBorders>
              <w:top w:val="single" w:sz="4" w:space="0" w:color="auto"/>
              <w:left w:val="nil"/>
              <w:bottom w:val="nil"/>
              <w:right w:val="nil"/>
            </w:tcBorders>
            <w:shd w:val="clear" w:color="auto" w:fill="auto"/>
            <w:noWrap/>
            <w:vAlign w:val="center"/>
            <w:hideMark/>
          </w:tcPr>
          <w:p w:rsidR="003332CA" w:rsidRPr="00C83719" w:rsidRDefault="003332CA" w:rsidP="00D87BA0">
            <w:pPr>
              <w:jc w:val="center"/>
              <w:rPr>
                <w:rFonts w:ascii="Times New Roman" w:eastAsia="Times New Roman" w:hAnsi="Times New Roman" w:cs="Times New Roman"/>
              </w:rPr>
            </w:pPr>
            <w:r w:rsidRPr="00F02604">
              <w:rPr>
                <w:rFonts w:ascii="Times New Roman" w:eastAsia="等线" w:hAnsi="Times New Roman" w:cs="Times New Roman"/>
                <w:color w:val="000000"/>
              </w:rPr>
              <w:t>SMR</w:t>
            </w:r>
            <w:r w:rsidRPr="00F02604">
              <w:rPr>
                <w:rFonts w:ascii="Times New Roman" w:eastAsia="等线" w:hAnsi="Times New Roman" w:cs="Times New Roman"/>
                <w:color w:val="000000"/>
                <w:vertAlign w:val="superscript"/>
              </w:rPr>
              <w:t>1,2</w:t>
            </w:r>
            <w:r w:rsidRPr="00F02604">
              <w:rPr>
                <w:rFonts w:ascii="Times New Roman" w:eastAsia="等线" w:hAnsi="Times New Roman" w:cs="Times New Roman"/>
                <w:color w:val="000000"/>
              </w:rPr>
              <w:t xml:space="preserve"> (95% CI)</w:t>
            </w:r>
          </w:p>
        </w:tc>
        <w:tc>
          <w:tcPr>
            <w:tcW w:w="235" w:type="dxa"/>
            <w:tcBorders>
              <w:top w:val="nil"/>
              <w:left w:val="nil"/>
              <w:bottom w:val="nil"/>
              <w:right w:val="nil"/>
            </w:tcBorders>
          </w:tcPr>
          <w:p w:rsidR="003332CA" w:rsidRPr="00F02604" w:rsidRDefault="003332CA" w:rsidP="00D87BA0">
            <w:pPr>
              <w:jc w:val="center"/>
              <w:rPr>
                <w:rFonts w:ascii="Times New Roman" w:eastAsia="等线" w:hAnsi="Times New Roman" w:cs="Times New Roman"/>
                <w:color w:val="000000"/>
              </w:rPr>
            </w:pPr>
          </w:p>
        </w:tc>
        <w:tc>
          <w:tcPr>
            <w:tcW w:w="1607" w:type="dxa"/>
            <w:tcBorders>
              <w:top w:val="single" w:sz="4" w:space="0" w:color="auto"/>
              <w:left w:val="nil"/>
              <w:bottom w:val="nil"/>
              <w:right w:val="nil"/>
            </w:tcBorders>
            <w:vAlign w:val="center"/>
          </w:tcPr>
          <w:p w:rsidR="003332CA" w:rsidRPr="00F02604"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Mortality rates (per 100,000 person-years)</w:t>
            </w:r>
          </w:p>
        </w:tc>
        <w:tc>
          <w:tcPr>
            <w:tcW w:w="1701" w:type="dxa"/>
            <w:tcBorders>
              <w:top w:val="single" w:sz="4" w:space="0" w:color="auto"/>
              <w:left w:val="nil"/>
              <w:bottom w:val="nil"/>
              <w:right w:val="nil"/>
            </w:tcBorders>
            <w:vAlign w:val="center"/>
          </w:tcPr>
          <w:p w:rsidR="003332CA" w:rsidRPr="00F02604"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SMR</w:t>
            </w:r>
            <w:r w:rsidRPr="00F02604">
              <w:rPr>
                <w:rFonts w:ascii="Times New Roman" w:eastAsia="等线" w:hAnsi="Times New Roman" w:cs="Times New Roman"/>
                <w:color w:val="000000"/>
                <w:vertAlign w:val="superscript"/>
              </w:rPr>
              <w:t>1,2</w:t>
            </w:r>
            <w:r w:rsidRPr="00F02604">
              <w:rPr>
                <w:rFonts w:ascii="Times New Roman" w:eastAsia="等线" w:hAnsi="Times New Roman" w:cs="Times New Roman"/>
                <w:color w:val="000000"/>
              </w:rPr>
              <w:t xml:space="preserve"> (95% CI)</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rPr>
                <w:rFonts w:ascii="Times New Roman" w:eastAsia="等线" w:hAnsi="Times New Roman" w:cs="Times New Roman"/>
                <w:color w:val="000000"/>
              </w:rPr>
            </w:pPr>
            <w:r w:rsidRPr="00C83719">
              <w:rPr>
                <w:rFonts w:ascii="Times New Roman" w:eastAsia="等线" w:hAnsi="Times New Roman" w:cs="Times New Roman"/>
                <w:color w:val="000000"/>
              </w:rPr>
              <w:t>All causes of death</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4,964.9</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6,370.8</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9,947.9</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53,134.0</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rPr>
                <w:rFonts w:ascii="Times New Roman" w:eastAsia="等线" w:hAnsi="Times New Roman" w:cs="Times New Roman"/>
                <w:color w:val="000000"/>
              </w:rPr>
            </w:pPr>
            <w:r w:rsidRPr="00C83719">
              <w:rPr>
                <w:rFonts w:ascii="Times New Roman" w:eastAsia="等线" w:hAnsi="Times New Roman" w:cs="Times New Roman"/>
                <w:color w:val="000000"/>
              </w:rPr>
              <w:t>Colorectal cancer</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368.6</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1,508.3</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5,165.1</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45,003.9</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rPr>
                <w:rFonts w:ascii="Times New Roman" w:eastAsia="等线" w:hAnsi="Times New Roman" w:cs="Times New Roman"/>
                <w:color w:val="000000"/>
              </w:rPr>
            </w:pPr>
            <w:r w:rsidRPr="00C83719">
              <w:rPr>
                <w:rFonts w:ascii="Times New Roman" w:eastAsia="等线" w:hAnsi="Times New Roman" w:cs="Times New Roman"/>
                <w:color w:val="000000"/>
              </w:rPr>
              <w:t>Other cancers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888.1</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864.6</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936.9</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3,957.1</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hint="eastAsia"/>
                <w:color w:val="000000"/>
              </w:rPr>
              <w:t>N</w:t>
            </w:r>
            <w:r>
              <w:rPr>
                <w:rFonts w:ascii="Times New Roman" w:eastAsia="等线" w:hAnsi="Times New Roman" w:cs="Times New Roman"/>
                <w:color w:val="000000"/>
              </w:rPr>
              <w:t>A</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rPr>
                <w:rFonts w:ascii="Times New Roman" w:eastAsia="等线" w:hAnsi="Times New Roman" w:cs="Times New Roman"/>
                <w:color w:val="000000"/>
              </w:rPr>
            </w:pPr>
            <w:r w:rsidRPr="00C83719">
              <w:rPr>
                <w:rFonts w:ascii="Times New Roman" w:eastAsia="等线" w:hAnsi="Times New Roman" w:cs="Times New Roman"/>
                <w:color w:val="000000"/>
              </w:rPr>
              <w:t>Non-cancer causes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3,708.2</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2.20 (2.16-2.23)</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3,998.0</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1.98 (1.96-1.99)</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3,845.9</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1.92 (1.90-1.93)</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4,173.0</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2.47 (2.42-2.51)</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100" w:firstLine="220"/>
              <w:rPr>
                <w:rFonts w:ascii="Times New Roman" w:eastAsia="等线" w:hAnsi="Times New Roman" w:cs="Times New Roman"/>
                <w:color w:val="000000"/>
              </w:rPr>
            </w:pPr>
            <w:r w:rsidRPr="00C83719">
              <w:rPr>
                <w:rFonts w:ascii="Times New Roman" w:eastAsia="等线" w:hAnsi="Times New Roman" w:cs="Times New Roman"/>
                <w:color w:val="000000"/>
              </w:rPr>
              <w:t>Infectious diseases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271.0</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2.66 (2.50-2.82)</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278.2</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2.23 (2.18-2.28)</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284.3</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2.28 (2.22-2.34)</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403.3</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3.83 (3.61-4.07)</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Pneumonia and influenza</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155.9</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2.47 (2.28-2.67)</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170.1</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2.14 (2.07-2.20)</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169.2</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2.11 (2.03-2.18)</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176.5</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2.75 (2.52-3.01)</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Syphilis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0.0</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color w:val="000000"/>
              </w:rPr>
              <w:t>NA</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0.0</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0.80 (0.11-5.67)</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0.1</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1.05 (0.15-7.47)</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0.0</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Pr>
                <w:rFonts w:ascii="Times New Roman" w:eastAsia="等线" w:hAnsi="Times New Roman" w:cs="Times New Roman"/>
                <w:color w:val="000000"/>
              </w:rPr>
              <w:t>NA</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Tuberculosis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1.3</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0.83 (0.35-2.00)</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1.5</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0.93 (0.67-1.29)</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1.7</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1.06 (0.74-1.52)</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0.8</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0.60 (0.15-2.41)</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Septicemia</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75.8</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2.96 (2.64-3.32)</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73.0</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2.40 (2.30-2.52)</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79.9</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2.69 (2.55-2.83)</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159.2</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5.88 (5.34-6.46)</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3332CA">
            <w:pPr>
              <w:ind w:leftChars="200" w:left="770" w:hangingChars="150" w:hanging="330"/>
              <w:rPr>
                <w:rFonts w:ascii="Times New Roman" w:eastAsia="等线" w:hAnsi="Times New Roman" w:cs="Times New Roman"/>
                <w:color w:val="000000"/>
              </w:rPr>
            </w:pPr>
            <w:r w:rsidRPr="00C83719">
              <w:rPr>
                <w:rFonts w:ascii="Times New Roman" w:eastAsia="等线" w:hAnsi="Times New Roman" w:cs="Times New Roman"/>
                <w:color w:val="000000"/>
              </w:rPr>
              <w:t>Other infectious and parasitic diseases including HIV</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38.1</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3.26 (2.78-3.83)</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33.6</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2.53 (2.36-2.71)</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33.5</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2.59 (2.39-2.81)</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66.8</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5.23 (4.51-6.06)</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100" w:firstLine="220"/>
              <w:rPr>
                <w:rFonts w:ascii="Times New Roman" w:eastAsia="等线" w:hAnsi="Times New Roman" w:cs="Times New Roman"/>
                <w:color w:val="000000"/>
              </w:rPr>
            </w:pPr>
            <w:r w:rsidRPr="00C83719">
              <w:rPr>
                <w:rFonts w:ascii="Times New Roman" w:eastAsia="等线" w:hAnsi="Times New Roman" w:cs="Times New Roman"/>
                <w:color w:val="000000"/>
              </w:rPr>
              <w:t>Cardiovascular diseases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1,895.8</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1.95 (1.91-1.99)</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2,107.7</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1.82 (1.80-1.83)</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2,051.1</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1.77 (1.75-1.79)</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2,192.0</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2.34 (2.28-2.40)</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Diseases of heart</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1,462.0</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1.93 (1.88-1.98)</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1,611.2</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1.80 (1.79-1.82)</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1,561.2</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1.76 (1.73-1.78)</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1,765.8</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2.45 (2.38-2.52)</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3332CA">
            <w:pPr>
              <w:ind w:leftChars="200" w:left="660" w:hangingChars="100" w:hanging="220"/>
              <w:rPr>
                <w:rFonts w:ascii="Times New Roman" w:eastAsia="等线" w:hAnsi="Times New Roman" w:cs="Times New Roman"/>
                <w:color w:val="000000"/>
              </w:rPr>
            </w:pPr>
            <w:r w:rsidRPr="00C83719">
              <w:rPr>
                <w:rFonts w:ascii="Times New Roman" w:eastAsia="等线" w:hAnsi="Times New Roman" w:cs="Times New Roman"/>
                <w:color w:val="000000"/>
              </w:rPr>
              <w:t>Hypertension without heart disease</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51.2</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3.25 (2.83-3.74)</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57.9</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2.89 (2.74-3.04)</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52.0</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2.63 (2.47-2.81)</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46.6</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2.57 (2.16-3.07)</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3332CA">
            <w:pPr>
              <w:ind w:leftChars="200" w:left="660" w:hangingChars="100" w:hanging="220"/>
              <w:rPr>
                <w:rFonts w:ascii="Times New Roman" w:eastAsia="等线" w:hAnsi="Times New Roman" w:cs="Times New Roman"/>
                <w:color w:val="000000"/>
              </w:rPr>
            </w:pPr>
            <w:r w:rsidRPr="00C83719">
              <w:rPr>
                <w:rFonts w:ascii="Times New Roman" w:eastAsia="等线" w:hAnsi="Times New Roman" w:cs="Times New Roman"/>
                <w:color w:val="000000"/>
              </w:rPr>
              <w:t>Aortic aneurysm and dissection</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28.7</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1.57 (1.30-1.89)</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30.1</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1.49 (1.39-1.60)</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26.7</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1.35 (1.24-1.48)</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28.9</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1.83 (1.46-2.29)</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Atherosclerosis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28.4</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1.89 (1.57-2.28)</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37.2</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1.84 (1.73-1.97)</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37.9</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1.80 (1.67-1.94)</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42.1</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2.64 (2.19-3.18)</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Cerebrovascular diseases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306.1</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1.98 (1.87-2.09)</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349.9</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1.80 (1.77-1.84)</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351.0</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1.79 (1.75-1.84)</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284.7</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1.81 (1.69-1.95)</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3332CA">
            <w:pPr>
              <w:ind w:leftChars="200" w:left="660" w:hangingChars="100" w:hanging="220"/>
              <w:rPr>
                <w:rFonts w:ascii="Times New Roman" w:eastAsia="等线" w:hAnsi="Times New Roman" w:cs="Times New Roman"/>
                <w:color w:val="000000"/>
              </w:rPr>
            </w:pPr>
            <w:r w:rsidRPr="00C83719">
              <w:rPr>
                <w:rFonts w:ascii="Times New Roman" w:eastAsia="等线" w:hAnsi="Times New Roman" w:cs="Times New Roman"/>
                <w:color w:val="000000"/>
              </w:rPr>
              <w:t>Other diseases of arteries, arterioles, capillaries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19.5</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2.02 (1.61-2.53)</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21.4</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1.85 (1.70-2.02)</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22.3</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1.94 (1.76-2.14)</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24.0</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2.53 (1.98-3.23)</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100" w:firstLine="220"/>
              <w:rPr>
                <w:rFonts w:ascii="Times New Roman" w:eastAsia="等线" w:hAnsi="Times New Roman" w:cs="Times New Roman"/>
                <w:color w:val="000000"/>
              </w:rPr>
            </w:pPr>
            <w:r w:rsidRPr="00C83719">
              <w:rPr>
                <w:rFonts w:ascii="Times New Roman" w:eastAsia="等线" w:hAnsi="Times New Roman" w:cs="Times New Roman"/>
                <w:color w:val="000000"/>
              </w:rPr>
              <w:t>Respiratory diseases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288.2</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2.36 (2.22-2.50)</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277.1</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1.94 (1.89-1.98)</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241.3</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1.74 (1.69-1.79)</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251.2</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2.10 (1.94-2.26)</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3332CA">
            <w:pPr>
              <w:ind w:leftChars="200" w:left="660" w:hangingChars="100" w:hanging="220"/>
              <w:rPr>
                <w:rFonts w:ascii="Times New Roman" w:eastAsia="等线" w:hAnsi="Times New Roman" w:cs="Times New Roman"/>
                <w:color w:val="000000"/>
              </w:rPr>
            </w:pPr>
            <w:r w:rsidRPr="00C83719">
              <w:rPr>
                <w:rFonts w:ascii="Times New Roman" w:eastAsia="等线" w:hAnsi="Times New Roman" w:cs="Times New Roman"/>
                <w:color w:val="000000"/>
              </w:rPr>
              <w:t xml:space="preserve">Chronic obstructive pulmonary disease and allied </w:t>
            </w:r>
            <w:proofErr w:type="spellStart"/>
            <w:r w:rsidRPr="00C83719">
              <w:rPr>
                <w:rFonts w:ascii="Times New Roman" w:eastAsia="等线" w:hAnsi="Times New Roman" w:cs="Times New Roman"/>
                <w:color w:val="000000"/>
              </w:rPr>
              <w:t>cond</w:t>
            </w:r>
            <w:proofErr w:type="spellEnd"/>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288.2</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2.36 (2.22-2.50)</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277.1</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1.94 (1.89-1.98)</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241.3</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1.74 (1.69-1.79)</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251.2</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2.10 (1.94-2.26)</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100" w:firstLine="220"/>
              <w:rPr>
                <w:rFonts w:ascii="Times New Roman" w:eastAsia="等线" w:hAnsi="Times New Roman" w:cs="Times New Roman"/>
                <w:color w:val="000000"/>
              </w:rPr>
            </w:pPr>
            <w:r w:rsidRPr="00C83719">
              <w:rPr>
                <w:rFonts w:ascii="Times New Roman" w:eastAsia="等线" w:hAnsi="Times New Roman" w:cs="Times New Roman"/>
                <w:color w:val="000000"/>
              </w:rPr>
              <w:t>Gastrointestinal diseases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68.1</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2.00 (1.77-2.25)</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56.7</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1.65 (1.56-1.73)</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49.5</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1.46 (1.37-1.56)</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71.0</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2.30 (2.00-2.66)</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lastRenderedPageBreak/>
              <w:t>Stomach and duodenal ulcers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11.3</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2.05 (1.53-2.76)</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10.7</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1.70 (1.51-1.92)</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13.2</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2.08 (1.83-2.36)</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19.9</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4.03 (3.08-5.28)</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3332CA">
            <w:pPr>
              <w:ind w:leftChars="200" w:left="660" w:hangingChars="100" w:hanging="220"/>
              <w:rPr>
                <w:rFonts w:ascii="Times New Roman" w:eastAsia="等线" w:hAnsi="Times New Roman" w:cs="Times New Roman"/>
                <w:color w:val="000000"/>
              </w:rPr>
            </w:pPr>
            <w:r w:rsidRPr="00C83719">
              <w:rPr>
                <w:rFonts w:ascii="Times New Roman" w:eastAsia="等线" w:hAnsi="Times New Roman" w:cs="Times New Roman"/>
                <w:color w:val="000000"/>
              </w:rPr>
              <w:t>Chronic liver disease and cirrhosis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56.8</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1.99 (1.74-2.27)</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46.0</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1.64 (1.54-1.73)</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36.3</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1.32 (1.23-1.43)</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51.1</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1.97 (1.67-2.34)</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100" w:firstLine="220"/>
              <w:rPr>
                <w:rFonts w:ascii="Times New Roman" w:eastAsia="等线" w:hAnsi="Times New Roman" w:cs="Times New Roman"/>
                <w:color w:val="000000"/>
              </w:rPr>
            </w:pPr>
            <w:r w:rsidRPr="00C83719">
              <w:rPr>
                <w:rFonts w:ascii="Times New Roman" w:eastAsia="等线" w:hAnsi="Times New Roman" w:cs="Times New Roman"/>
                <w:color w:val="000000"/>
              </w:rPr>
              <w:t>Renal diseases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96.7</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2.94 (2.66-3.25)</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101.9</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2.54 (2.44-2.64)</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84.4</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2.15 (2.04-2.26)</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102.1</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2.87 (2.55-3.24)</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3332CA">
            <w:pPr>
              <w:ind w:leftChars="200" w:left="660" w:hangingChars="100" w:hanging="220"/>
              <w:rPr>
                <w:rFonts w:ascii="Times New Roman" w:eastAsia="等线" w:hAnsi="Times New Roman" w:cs="Times New Roman"/>
                <w:color w:val="000000"/>
              </w:rPr>
            </w:pPr>
            <w:r w:rsidRPr="00C83719">
              <w:rPr>
                <w:rFonts w:ascii="Times New Roman" w:eastAsia="等线" w:hAnsi="Times New Roman" w:cs="Times New Roman"/>
                <w:color w:val="000000"/>
              </w:rPr>
              <w:t xml:space="preserve">Nephritis, </w:t>
            </w:r>
            <w:proofErr w:type="spellStart"/>
            <w:r w:rsidRPr="00C83719">
              <w:rPr>
                <w:rFonts w:ascii="Times New Roman" w:eastAsia="等线" w:hAnsi="Times New Roman" w:cs="Times New Roman"/>
                <w:color w:val="000000"/>
              </w:rPr>
              <w:t>nephrotic</w:t>
            </w:r>
            <w:proofErr w:type="spellEnd"/>
            <w:r w:rsidRPr="00C83719">
              <w:rPr>
                <w:rFonts w:ascii="Times New Roman" w:eastAsia="等线" w:hAnsi="Times New Roman" w:cs="Times New Roman"/>
                <w:color w:val="000000"/>
              </w:rPr>
              <w:t xml:space="preserve"> syndrome and </w:t>
            </w:r>
            <w:proofErr w:type="spellStart"/>
            <w:r w:rsidRPr="00C83719">
              <w:rPr>
                <w:rFonts w:ascii="Times New Roman" w:eastAsia="等线" w:hAnsi="Times New Roman" w:cs="Times New Roman"/>
                <w:color w:val="000000"/>
              </w:rPr>
              <w:t>nephrosis</w:t>
            </w:r>
            <w:proofErr w:type="spellEnd"/>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96.7</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2.94 (2.66-3.25)</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101.9</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2.54 (2.44-2.64)</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84.4</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2.15 (2.04-2.26)</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102.1</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2.87 (2.55-3.24)</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100" w:firstLine="220"/>
              <w:rPr>
                <w:rFonts w:ascii="Times New Roman" w:eastAsia="等线" w:hAnsi="Times New Roman" w:cs="Times New Roman"/>
                <w:color w:val="000000"/>
              </w:rPr>
            </w:pPr>
            <w:r w:rsidRPr="00C83719">
              <w:rPr>
                <w:rFonts w:ascii="Times New Roman" w:eastAsia="等线" w:hAnsi="Times New Roman" w:cs="Times New Roman"/>
                <w:color w:val="000000"/>
              </w:rPr>
              <w:t>External injuries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125.2</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1.60 (1.46-1.75)</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126.9</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1.50 (1.45-1.55)</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128.5</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1.53 (1.47-1.59)</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168.2</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2.07 (1.89-2.27)</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Accidents and adverse effects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100.8</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1.80 (1.63-1.99)</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100.8</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1.60 (1.53-1.66)</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98.5</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1.57 (1.50-1.64)</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105.2</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1.76 (1.57-1.98)</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Suicide and self-inflicted injury</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21.2</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1.23 (0.99-1.52)</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22.7</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1.33 (1.22-1.44)</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26.8</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1.59 (1.46-1.74)</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60.8</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3.60 (3.09-4.20)</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Homicide and legal intervention</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3.1</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0.64 (0.36-1.12)</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3.3</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0.76 (0.61-0.94)</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3.3</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0.72 (0.56-0.94)</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2.3</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0.49 (0.22-1.10)</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100" w:firstLine="220"/>
              <w:rPr>
                <w:rFonts w:ascii="Times New Roman" w:eastAsia="等线" w:hAnsi="Times New Roman" w:cs="Times New Roman"/>
                <w:color w:val="000000"/>
              </w:rPr>
            </w:pPr>
            <w:r w:rsidRPr="00C83719">
              <w:rPr>
                <w:rFonts w:ascii="Times New Roman" w:eastAsia="等线" w:hAnsi="Times New Roman" w:cs="Times New Roman"/>
                <w:color w:val="000000"/>
              </w:rPr>
              <w:t>Other non-cancer causes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963.1</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2.78 (2.69-2.87)</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1,049.6</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2.40 (2.37-2.43)</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1,006.8</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2.34 (2.31-2.38)</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985.0</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2.58 (2.49-2.69)</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Alzheimer’s disease</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135.9</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4.21 (3.87-4.59)</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160.2</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3.22 (3.12-3.32)</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144.2</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2.98 (2.86-3.09)</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69.1</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1.64 (1.42-1.90)</w:t>
            </w:r>
          </w:p>
        </w:tc>
      </w:tr>
      <w:tr w:rsidR="003332CA" w:rsidRPr="00F02604" w:rsidTr="00D87BA0">
        <w:trPr>
          <w:trHeight w:val="300"/>
        </w:trPr>
        <w:tc>
          <w:tcPr>
            <w:tcW w:w="3545" w:type="dxa"/>
            <w:tcBorders>
              <w:top w:val="nil"/>
              <w:left w:val="nil"/>
              <w:bottom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Diabetes mellitus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146.1</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2.22 (2.05-2.41)</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147.8</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2.00 (1.93-2.06)</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135.0</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1.86 (1.78-1.93)</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104.8</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1.61 (1.43-1.81)</w:t>
            </w:r>
          </w:p>
        </w:tc>
      </w:tr>
      <w:tr w:rsidR="003332CA" w:rsidRPr="00F02604" w:rsidTr="00D87BA0">
        <w:trPr>
          <w:trHeight w:val="300"/>
        </w:trPr>
        <w:tc>
          <w:tcPr>
            <w:tcW w:w="3545" w:type="dxa"/>
            <w:tcBorders>
              <w:top w:val="nil"/>
              <w:left w:val="nil"/>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Congenital anomalies</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3.3</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1.36 (0.79-2.34)</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3.3</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1.29 (1.04-1.60)</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3.8</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1.46 (1.15-1.85)</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0.8</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0.32 (0.08-1.26)</w:t>
            </w:r>
          </w:p>
        </w:tc>
      </w:tr>
      <w:tr w:rsidR="003332CA" w:rsidRPr="00F02604" w:rsidTr="00D87BA0">
        <w:trPr>
          <w:trHeight w:val="315"/>
        </w:trPr>
        <w:tc>
          <w:tcPr>
            <w:tcW w:w="3545" w:type="dxa"/>
            <w:tcBorders>
              <w:top w:val="nil"/>
              <w:left w:val="nil"/>
              <w:right w:val="nil"/>
            </w:tcBorders>
            <w:shd w:val="clear" w:color="auto" w:fill="auto"/>
            <w:noWrap/>
            <w:vAlign w:val="center"/>
            <w:hideMark/>
          </w:tcPr>
          <w:p w:rsidR="003332CA" w:rsidRPr="00C83719" w:rsidRDefault="003332CA" w:rsidP="003332CA">
            <w:pPr>
              <w:ind w:leftChars="200" w:left="660" w:hangingChars="100" w:hanging="220"/>
              <w:rPr>
                <w:rFonts w:ascii="Times New Roman" w:eastAsia="等线" w:hAnsi="Times New Roman" w:cs="Times New Roman"/>
                <w:color w:val="000000"/>
              </w:rPr>
            </w:pPr>
            <w:r w:rsidRPr="00C83719">
              <w:rPr>
                <w:rFonts w:ascii="Times New Roman" w:eastAsia="等线" w:hAnsi="Times New Roman" w:cs="Times New Roman"/>
                <w:color w:val="000000"/>
              </w:rPr>
              <w:t>Certain conditions originating in perinatal period</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0.3</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2599.8 (366.2-18457.2)</w:t>
            </w:r>
          </w:p>
        </w:tc>
        <w:tc>
          <w:tcPr>
            <w:tcW w:w="283" w:type="dxa"/>
            <w:tcBorders>
              <w:top w:val="nil"/>
              <w:left w:val="nil"/>
              <w:bottom w:val="nil"/>
              <w:right w:val="nil"/>
            </w:tcBorders>
            <w:shd w:val="clear" w:color="auto" w:fill="auto"/>
            <w:noWrap/>
            <w:vAlign w:val="center"/>
            <w:hideMark/>
          </w:tcPr>
          <w:p w:rsidR="003332CA" w:rsidRPr="00F02604"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vAlign w:val="center"/>
          </w:tcPr>
          <w:p w:rsidR="003332CA" w:rsidRPr="00C83719"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0.04</w:t>
            </w:r>
          </w:p>
        </w:tc>
        <w:tc>
          <w:tcPr>
            <w:tcW w:w="1701" w:type="dxa"/>
            <w:tcBorders>
              <w:top w:val="nil"/>
              <w:left w:val="nil"/>
              <w:bottom w:val="nil"/>
              <w:right w:val="nil"/>
            </w:tcBorders>
            <w:shd w:val="clear" w:color="auto" w:fill="auto"/>
            <w:noWrap/>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31.8 (4.48-225.9)</w:t>
            </w:r>
          </w:p>
        </w:tc>
        <w:tc>
          <w:tcPr>
            <w:tcW w:w="284" w:type="dxa"/>
            <w:tcBorders>
              <w:top w:val="nil"/>
              <w:left w:val="nil"/>
              <w:bottom w:val="nil"/>
              <w:right w:val="nil"/>
            </w:tcBorders>
            <w:shd w:val="clear" w:color="auto" w:fill="auto"/>
            <w:noWrap/>
            <w:vAlign w:val="center"/>
            <w:hideMark/>
          </w:tcPr>
          <w:p w:rsidR="003332CA" w:rsidRPr="00F02604"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vAlign w:val="center"/>
          </w:tcPr>
          <w:p w:rsidR="003332CA" w:rsidRPr="00F02604"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0.2</w:t>
            </w:r>
          </w:p>
        </w:tc>
        <w:tc>
          <w:tcPr>
            <w:tcW w:w="1843" w:type="dxa"/>
            <w:tcBorders>
              <w:top w:val="nil"/>
              <w:left w:val="nil"/>
              <w:bottom w:val="nil"/>
              <w:right w:val="nil"/>
            </w:tcBorders>
            <w:shd w:val="clear" w:color="auto" w:fill="auto"/>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126.9 (40.9-393.6)</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0.8</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4410.3 (1103.0-17634.6)</w:t>
            </w:r>
          </w:p>
        </w:tc>
      </w:tr>
      <w:tr w:rsidR="003332CA" w:rsidRPr="00F02604" w:rsidTr="00D87BA0">
        <w:trPr>
          <w:trHeight w:val="300"/>
        </w:trPr>
        <w:tc>
          <w:tcPr>
            <w:tcW w:w="3545" w:type="dxa"/>
            <w:tcBorders>
              <w:left w:val="nil"/>
              <w:bottom w:val="nil"/>
              <w:right w:val="nil"/>
            </w:tcBorders>
            <w:shd w:val="clear" w:color="auto" w:fill="auto"/>
            <w:noWrap/>
            <w:vAlign w:val="center"/>
            <w:hideMark/>
          </w:tcPr>
          <w:p w:rsidR="003332CA" w:rsidRPr="00C83719" w:rsidRDefault="003332CA" w:rsidP="003332CA">
            <w:pPr>
              <w:ind w:leftChars="200" w:left="770" w:hangingChars="150" w:hanging="330"/>
              <w:rPr>
                <w:rFonts w:ascii="Times New Roman" w:eastAsia="等线" w:hAnsi="Times New Roman" w:cs="Times New Roman"/>
                <w:color w:val="000000"/>
              </w:rPr>
            </w:pPr>
            <w:r w:rsidRPr="00C83719">
              <w:rPr>
                <w:rFonts w:ascii="Times New Roman" w:eastAsia="等线" w:hAnsi="Times New Roman" w:cs="Times New Roman"/>
                <w:color w:val="000000"/>
              </w:rPr>
              <w:t>Complications of</w:t>
            </w:r>
            <w:r>
              <w:rPr>
                <w:rFonts w:ascii="Times New Roman" w:eastAsia="等线" w:hAnsi="Times New Roman" w:cs="Times New Roman"/>
                <w:color w:val="000000"/>
              </w:rPr>
              <w:t xml:space="preserve"> </w:t>
            </w:r>
            <w:r w:rsidRPr="00C83719">
              <w:rPr>
                <w:rFonts w:ascii="Times New Roman" w:eastAsia="等线" w:hAnsi="Times New Roman" w:cs="Times New Roman"/>
                <w:color w:val="000000"/>
              </w:rPr>
              <w:t>pregnancy,</w:t>
            </w:r>
            <w:r>
              <w:rPr>
                <w:rFonts w:ascii="Times New Roman" w:eastAsia="等线" w:hAnsi="Times New Roman" w:cs="Times New Roman"/>
                <w:color w:val="000000"/>
              </w:rPr>
              <w:t xml:space="preserve"> </w:t>
            </w:r>
            <w:r w:rsidRPr="00C83719">
              <w:rPr>
                <w:rFonts w:ascii="Times New Roman" w:eastAsia="等线" w:hAnsi="Times New Roman" w:cs="Times New Roman"/>
                <w:color w:val="000000"/>
              </w:rPr>
              <w:t xml:space="preserve">childbirth, </w:t>
            </w:r>
            <w:proofErr w:type="spellStart"/>
            <w:r w:rsidRPr="00C83719">
              <w:rPr>
                <w:rFonts w:ascii="Times New Roman" w:eastAsia="等线" w:hAnsi="Times New Roman" w:cs="Times New Roman"/>
                <w:color w:val="000000"/>
              </w:rPr>
              <w:t>puerperium</w:t>
            </w:r>
            <w:proofErr w:type="spellEnd"/>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0.3</w:t>
            </w: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10.4 (1.47-74.0)</w:t>
            </w:r>
          </w:p>
        </w:tc>
        <w:tc>
          <w:tcPr>
            <w:tcW w:w="28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eastAsia="等线" w:hAnsi="Times New Roman" w:cs="Times New Roman"/>
                <w:color w:val="000000"/>
              </w:rPr>
              <w:t>0.04</w:t>
            </w:r>
          </w:p>
        </w:tc>
        <w:tc>
          <w:tcPr>
            <w:tcW w:w="1701" w:type="dxa"/>
            <w:tcBorders>
              <w:top w:val="nil"/>
              <w:left w:val="nil"/>
              <w:bottom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1.40 (0.20-9.93)</w:t>
            </w:r>
          </w:p>
        </w:tc>
        <w:tc>
          <w:tcPr>
            <w:tcW w:w="2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0.2</w:t>
            </w:r>
          </w:p>
        </w:tc>
        <w:tc>
          <w:tcPr>
            <w:tcW w:w="1843" w:type="dxa"/>
            <w:tcBorders>
              <w:top w:val="nil"/>
              <w:left w:val="nil"/>
              <w:bottom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7.05 (2.65-18.8)</w:t>
            </w:r>
          </w:p>
        </w:tc>
        <w:tc>
          <w:tcPr>
            <w:tcW w:w="235" w:type="dxa"/>
            <w:tcBorders>
              <w:top w:val="nil"/>
              <w:left w:val="nil"/>
              <w:bottom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9.0</w:t>
            </w:r>
          </w:p>
        </w:tc>
        <w:tc>
          <w:tcPr>
            <w:tcW w:w="1701" w:type="dxa"/>
            <w:tcBorders>
              <w:top w:val="nil"/>
              <w:left w:val="nil"/>
              <w:bottom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151.6 (101.6-226.2)</w:t>
            </w:r>
          </w:p>
        </w:tc>
      </w:tr>
      <w:tr w:rsidR="003332CA" w:rsidRPr="00F02604" w:rsidTr="00D87BA0">
        <w:trPr>
          <w:trHeight w:val="300"/>
        </w:trPr>
        <w:tc>
          <w:tcPr>
            <w:tcW w:w="3545" w:type="dxa"/>
            <w:tcBorders>
              <w:top w:val="nil"/>
              <w:left w:val="nil"/>
              <w:right w:val="nil"/>
            </w:tcBorders>
            <w:shd w:val="clear" w:color="auto" w:fill="auto"/>
            <w:noWrap/>
            <w:vAlign w:val="center"/>
            <w:hideMark/>
          </w:tcPr>
          <w:p w:rsidR="003332CA" w:rsidRPr="00C83719" w:rsidRDefault="003332CA" w:rsidP="003332CA">
            <w:pPr>
              <w:ind w:leftChars="200" w:left="660" w:hangingChars="100" w:hanging="220"/>
              <w:rPr>
                <w:rFonts w:ascii="Times New Roman" w:eastAsia="等线" w:hAnsi="Times New Roman" w:cs="Times New Roman"/>
                <w:color w:val="000000"/>
              </w:rPr>
            </w:pPr>
            <w:r w:rsidRPr="00C83719">
              <w:rPr>
                <w:rFonts w:ascii="Times New Roman" w:eastAsia="等线" w:hAnsi="Times New Roman" w:cs="Times New Roman"/>
                <w:color w:val="000000"/>
              </w:rPr>
              <w:t>Symptoms, signs and ill-defined</w:t>
            </w:r>
            <w:r>
              <w:rPr>
                <w:rFonts w:ascii="Times New Roman" w:eastAsia="等线" w:hAnsi="Times New Roman" w:cs="Times New Roman"/>
                <w:color w:val="000000"/>
              </w:rPr>
              <w:t xml:space="preserve"> </w:t>
            </w:r>
            <w:r w:rsidRPr="00C83719">
              <w:rPr>
                <w:rFonts w:ascii="Times New Roman" w:eastAsia="等线" w:hAnsi="Times New Roman" w:cs="Times New Roman"/>
                <w:color w:val="000000"/>
              </w:rPr>
              <w:t>conditions</w:t>
            </w:r>
          </w:p>
        </w:tc>
        <w:tc>
          <w:tcPr>
            <w:tcW w:w="1701" w:type="dxa"/>
            <w:tcBorders>
              <w:top w:val="nil"/>
              <w:left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43.8</w:t>
            </w:r>
          </w:p>
        </w:tc>
        <w:tc>
          <w:tcPr>
            <w:tcW w:w="1701" w:type="dxa"/>
            <w:tcBorders>
              <w:top w:val="nil"/>
              <w:left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2.10 (1.81-2.44)</w:t>
            </w:r>
          </w:p>
        </w:tc>
        <w:tc>
          <w:tcPr>
            <w:tcW w:w="283" w:type="dxa"/>
            <w:tcBorders>
              <w:top w:val="nil"/>
              <w:left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48.6</w:t>
            </w:r>
          </w:p>
        </w:tc>
        <w:tc>
          <w:tcPr>
            <w:tcW w:w="1701" w:type="dxa"/>
            <w:tcBorders>
              <w:top w:val="nil"/>
              <w:left w:val="nil"/>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1.88 (1.77-1.99)</w:t>
            </w:r>
          </w:p>
        </w:tc>
        <w:tc>
          <w:tcPr>
            <w:tcW w:w="284" w:type="dxa"/>
            <w:tcBorders>
              <w:top w:val="nil"/>
              <w:left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49.2</w:t>
            </w:r>
          </w:p>
        </w:tc>
        <w:tc>
          <w:tcPr>
            <w:tcW w:w="1843" w:type="dxa"/>
            <w:tcBorders>
              <w:top w:val="nil"/>
              <w:left w:val="nil"/>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1.91 (1.79-2.04)</w:t>
            </w:r>
          </w:p>
        </w:tc>
        <w:tc>
          <w:tcPr>
            <w:tcW w:w="235" w:type="dxa"/>
            <w:tcBorders>
              <w:top w:val="nil"/>
              <w:left w:val="nil"/>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76.2</w:t>
            </w:r>
          </w:p>
        </w:tc>
        <w:tc>
          <w:tcPr>
            <w:tcW w:w="1701" w:type="dxa"/>
            <w:tcBorders>
              <w:top w:val="nil"/>
              <w:left w:val="nil"/>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3.42 (2.98-3.92)</w:t>
            </w:r>
          </w:p>
        </w:tc>
      </w:tr>
      <w:tr w:rsidR="003332CA" w:rsidRPr="00F02604" w:rsidTr="00D87BA0">
        <w:trPr>
          <w:trHeight w:val="300"/>
        </w:trPr>
        <w:tc>
          <w:tcPr>
            <w:tcW w:w="3545" w:type="dxa"/>
            <w:tcBorders>
              <w:top w:val="nil"/>
              <w:left w:val="nil"/>
              <w:bottom w:val="single" w:sz="4" w:space="0" w:color="auto"/>
              <w:right w:val="nil"/>
            </w:tcBorders>
            <w:shd w:val="clear" w:color="auto" w:fill="auto"/>
            <w:noWrap/>
            <w:vAlign w:val="center"/>
            <w:hideMark/>
          </w:tcPr>
          <w:p w:rsidR="003332CA" w:rsidRPr="00C83719" w:rsidRDefault="003332CA" w:rsidP="00D87BA0">
            <w:pPr>
              <w:ind w:firstLineChars="200" w:firstLine="440"/>
              <w:rPr>
                <w:rFonts w:ascii="Times New Roman" w:eastAsia="等线" w:hAnsi="Times New Roman" w:cs="Times New Roman"/>
                <w:color w:val="000000"/>
              </w:rPr>
            </w:pPr>
            <w:r w:rsidRPr="00C83719">
              <w:rPr>
                <w:rFonts w:ascii="Times New Roman" w:eastAsia="等线" w:hAnsi="Times New Roman" w:cs="Times New Roman"/>
                <w:color w:val="000000"/>
              </w:rPr>
              <w:t>Other cause of death</w:t>
            </w:r>
          </w:p>
        </w:tc>
        <w:tc>
          <w:tcPr>
            <w:tcW w:w="1701" w:type="dxa"/>
            <w:tcBorders>
              <w:top w:val="nil"/>
              <w:left w:val="nil"/>
              <w:bottom w:val="single" w:sz="4" w:space="0" w:color="auto"/>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633.5</w:t>
            </w:r>
          </w:p>
        </w:tc>
        <w:tc>
          <w:tcPr>
            <w:tcW w:w="1701" w:type="dxa"/>
            <w:tcBorders>
              <w:top w:val="nil"/>
              <w:left w:val="nil"/>
              <w:bottom w:val="single" w:sz="4" w:space="0" w:color="auto"/>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2.82 (2.71-2.93)</w:t>
            </w:r>
          </w:p>
        </w:tc>
        <w:tc>
          <w:tcPr>
            <w:tcW w:w="283" w:type="dxa"/>
            <w:tcBorders>
              <w:top w:val="nil"/>
              <w:left w:val="nil"/>
              <w:bottom w:val="single" w:sz="4" w:space="0" w:color="auto"/>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701" w:type="dxa"/>
            <w:tcBorders>
              <w:top w:val="nil"/>
              <w:left w:val="nil"/>
              <w:bottom w:val="single" w:sz="4" w:space="0" w:color="auto"/>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689.6</w:t>
            </w:r>
          </w:p>
        </w:tc>
        <w:tc>
          <w:tcPr>
            <w:tcW w:w="1701" w:type="dxa"/>
            <w:tcBorders>
              <w:top w:val="nil"/>
              <w:left w:val="nil"/>
              <w:bottom w:val="single" w:sz="4" w:space="0" w:color="auto"/>
              <w:right w:val="nil"/>
            </w:tcBorders>
            <w:shd w:val="clear" w:color="auto" w:fill="auto"/>
            <w:noWrap/>
            <w:hideMark/>
          </w:tcPr>
          <w:p w:rsidR="003332CA" w:rsidRPr="00C83719" w:rsidRDefault="003332CA" w:rsidP="00D87BA0">
            <w:pPr>
              <w:jc w:val="center"/>
              <w:rPr>
                <w:rFonts w:ascii="Times New Roman" w:eastAsia="等线" w:hAnsi="Times New Roman" w:cs="Times New Roman"/>
                <w:color w:val="000000"/>
              </w:rPr>
            </w:pPr>
            <w:r w:rsidRPr="00F02604">
              <w:rPr>
                <w:rFonts w:ascii="Times New Roman" w:hAnsi="Times New Roman" w:cs="Times New Roman"/>
              </w:rPr>
              <w:t>2.42 (2.39-2.46)</w:t>
            </w:r>
          </w:p>
        </w:tc>
        <w:tc>
          <w:tcPr>
            <w:tcW w:w="284" w:type="dxa"/>
            <w:tcBorders>
              <w:top w:val="nil"/>
              <w:left w:val="nil"/>
              <w:bottom w:val="single" w:sz="4" w:space="0" w:color="auto"/>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p>
        </w:tc>
        <w:tc>
          <w:tcPr>
            <w:tcW w:w="1984" w:type="dxa"/>
            <w:tcBorders>
              <w:top w:val="nil"/>
              <w:left w:val="nil"/>
              <w:bottom w:val="single" w:sz="4" w:space="0" w:color="auto"/>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674.2</w:t>
            </w:r>
          </w:p>
        </w:tc>
        <w:tc>
          <w:tcPr>
            <w:tcW w:w="1843" w:type="dxa"/>
            <w:tcBorders>
              <w:top w:val="nil"/>
              <w:left w:val="nil"/>
              <w:bottom w:val="single" w:sz="4" w:space="0" w:color="auto"/>
              <w:right w:val="nil"/>
            </w:tcBorders>
            <w:shd w:val="clear" w:color="auto" w:fill="auto"/>
            <w:noWrap/>
            <w:vAlign w:val="center"/>
            <w:hideMark/>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2.41 (2.36-2.45)</w:t>
            </w:r>
          </w:p>
        </w:tc>
        <w:tc>
          <w:tcPr>
            <w:tcW w:w="235" w:type="dxa"/>
            <w:tcBorders>
              <w:top w:val="nil"/>
              <w:left w:val="nil"/>
              <w:bottom w:val="single" w:sz="4" w:space="0" w:color="auto"/>
              <w:right w:val="nil"/>
            </w:tcBorders>
          </w:tcPr>
          <w:p w:rsidR="003332CA" w:rsidRPr="00C83719" w:rsidRDefault="003332CA" w:rsidP="00D87BA0">
            <w:pPr>
              <w:jc w:val="center"/>
              <w:rPr>
                <w:rFonts w:ascii="Times New Roman" w:eastAsia="等线" w:hAnsi="Times New Roman" w:cs="Times New Roman"/>
                <w:color w:val="000000"/>
              </w:rPr>
            </w:pPr>
          </w:p>
        </w:tc>
        <w:tc>
          <w:tcPr>
            <w:tcW w:w="1607" w:type="dxa"/>
            <w:tcBorders>
              <w:top w:val="nil"/>
              <w:left w:val="nil"/>
              <w:bottom w:val="single" w:sz="4" w:space="0" w:color="auto"/>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724.4</w:t>
            </w:r>
          </w:p>
        </w:tc>
        <w:tc>
          <w:tcPr>
            <w:tcW w:w="1701" w:type="dxa"/>
            <w:tcBorders>
              <w:top w:val="nil"/>
              <w:left w:val="nil"/>
              <w:bottom w:val="single" w:sz="4" w:space="0" w:color="auto"/>
              <w:right w:val="nil"/>
            </w:tcBorders>
            <w:vAlign w:val="center"/>
          </w:tcPr>
          <w:p w:rsidR="003332CA" w:rsidRPr="00C83719" w:rsidRDefault="003332CA" w:rsidP="00D87BA0">
            <w:pPr>
              <w:jc w:val="center"/>
              <w:rPr>
                <w:rFonts w:ascii="Times New Roman" w:eastAsia="等线" w:hAnsi="Times New Roman" w:cs="Times New Roman"/>
                <w:color w:val="000000"/>
              </w:rPr>
            </w:pPr>
            <w:r w:rsidRPr="00C83719">
              <w:rPr>
                <w:rFonts w:ascii="Times New Roman" w:eastAsia="等线" w:hAnsi="Times New Roman" w:cs="Times New Roman"/>
                <w:color w:val="000000"/>
              </w:rPr>
              <w:t>2.91 (2.78-3.04)</w:t>
            </w:r>
          </w:p>
        </w:tc>
      </w:tr>
    </w:tbl>
    <w:p w:rsidR="003332CA" w:rsidRPr="007B49E4" w:rsidRDefault="003332CA" w:rsidP="003332CA">
      <w:pPr>
        <w:rPr>
          <w:rFonts w:ascii="Times New Roman" w:eastAsia="等线" w:hAnsi="Times New Roman" w:cs="Times New Roman"/>
        </w:rPr>
      </w:pPr>
      <w:r w:rsidRPr="007B49E4">
        <w:rPr>
          <w:rFonts w:ascii="Times New Roman" w:eastAsia="等线" w:hAnsi="Times New Roman" w:cs="Times New Roman"/>
        </w:rPr>
        <w:t>Abbreviations:</w:t>
      </w:r>
      <w:r w:rsidRPr="007B49E4">
        <w:rPr>
          <w:rFonts w:ascii="Times New Roman" w:eastAsia="等线" w:hAnsi="Times New Roman" w:cs="Times New Roman"/>
          <w:color w:val="000000"/>
        </w:rPr>
        <w:t xml:space="preserve"> </w:t>
      </w:r>
      <w:r w:rsidRPr="007B49E4">
        <w:rPr>
          <w:rFonts w:ascii="Times New Roman" w:eastAsia="等线" w:hAnsi="Times New Roman" w:cs="Times New Roman"/>
        </w:rPr>
        <w:t>SMR, standardized mortality ratios; CI, confidence interval.</w:t>
      </w:r>
    </w:p>
    <w:p w:rsidR="003332CA" w:rsidRPr="007B49E4" w:rsidRDefault="003332CA" w:rsidP="003332CA">
      <w:pPr>
        <w:rPr>
          <w:rFonts w:ascii="Times New Roman" w:eastAsia="等线" w:hAnsi="Times New Roman" w:cs="Times New Roman"/>
        </w:rPr>
      </w:pPr>
      <w:r w:rsidRPr="007B49E4">
        <w:rPr>
          <w:rFonts w:ascii="Times New Roman" w:eastAsia="等线" w:hAnsi="Times New Roman" w:cs="Times New Roman"/>
          <w:vertAlign w:val="superscript"/>
        </w:rPr>
        <w:t>1</w:t>
      </w:r>
      <w:r w:rsidRPr="007B49E4">
        <w:rPr>
          <w:rFonts w:ascii="Times New Roman" w:eastAsia="等线" w:hAnsi="Times New Roman" w:cs="Times New Roman"/>
        </w:rPr>
        <w:t xml:space="preserve"> The calculating of SMR is based on the hypothesis that the general population is cancer-free, thus the expected deaths and SMR for colorectal cancer and other cancers cannot be calculated.</w:t>
      </w:r>
    </w:p>
    <w:p w:rsidR="003332CA" w:rsidRPr="008E3D8A" w:rsidRDefault="003332CA" w:rsidP="003332CA">
      <w:pPr>
        <w:rPr>
          <w:rFonts w:ascii="Times New Roman" w:eastAsia="等线" w:hAnsi="Times New Roman" w:cs="Times New Roman"/>
        </w:rPr>
      </w:pPr>
      <w:r w:rsidRPr="007B49E4">
        <w:rPr>
          <w:rFonts w:ascii="Times New Roman" w:eastAsia="等线" w:hAnsi="Times New Roman" w:cs="Times New Roman"/>
          <w:vertAlign w:val="superscript"/>
        </w:rPr>
        <w:t xml:space="preserve">2 </w:t>
      </w:r>
      <w:r w:rsidRPr="007B49E4">
        <w:rPr>
          <w:rFonts w:ascii="Times New Roman" w:eastAsia="等线" w:hAnsi="Times New Roman" w:cs="Times New Roman"/>
        </w:rPr>
        <w:t xml:space="preserve">The SMRs were </w:t>
      </w:r>
      <w:r w:rsidRPr="007B49E4">
        <w:rPr>
          <w:rFonts w:ascii="Times New Roman" w:eastAsia="等线" w:hAnsi="Times New Roman" w:cs="Times New Roman"/>
          <w:color w:val="000000"/>
        </w:rPr>
        <w:t>estimated</w:t>
      </w:r>
      <w:r w:rsidRPr="007B49E4">
        <w:rPr>
          <w:rFonts w:ascii="Times New Roman" w:eastAsia="等线" w:hAnsi="Times New Roman" w:cs="Times New Roman"/>
        </w:rPr>
        <w:t xml:space="preserve"> as the ratios of observed to expected number of deaths. The observed values represented the number of deaths in cancer patients, whereas the expected values represented the number of individuals who died of the same causes </w:t>
      </w:r>
      <w:r w:rsidRPr="007B49E4">
        <w:rPr>
          <w:rFonts w:ascii="Times New Roman" w:eastAsia="等线" w:hAnsi="Times New Roman" w:cs="Times New Roman"/>
          <w:color w:val="000000"/>
        </w:rPr>
        <w:t>in the general population, with</w:t>
      </w:r>
      <w:r w:rsidRPr="007B49E4">
        <w:rPr>
          <w:rFonts w:ascii="Times New Roman" w:eastAsia="等线" w:hAnsi="Times New Roman" w:cs="Times New Roman"/>
        </w:rPr>
        <w:t xml:space="preserve"> a similar </w:t>
      </w:r>
      <w:r w:rsidRPr="007B49E4">
        <w:rPr>
          <w:rFonts w:ascii="Times New Roman" w:eastAsia="等线" w:hAnsi="Times New Roman" w:cs="Times New Roman"/>
          <w:color w:val="000000"/>
        </w:rPr>
        <w:t xml:space="preserve">distribution of </w:t>
      </w:r>
      <w:r w:rsidRPr="007B49E4">
        <w:rPr>
          <w:rFonts w:ascii="Times New Roman" w:eastAsia="等线" w:hAnsi="Times New Roman" w:cs="Times New Roman"/>
        </w:rPr>
        <w:t>age, sex, race, and calendar year.</w:t>
      </w:r>
    </w:p>
    <w:p w:rsidR="00E22D38" w:rsidRDefault="00E22D38"/>
    <w:sectPr w:rsidR="00E22D38" w:rsidSect="003332CA">
      <w:pgSz w:w="23818" w:h="16834"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15"/>
    <w:rsid w:val="00015534"/>
    <w:rsid w:val="00036316"/>
    <w:rsid w:val="000C1646"/>
    <w:rsid w:val="00130FAB"/>
    <w:rsid w:val="00153B4C"/>
    <w:rsid w:val="00196608"/>
    <w:rsid w:val="001F6FA3"/>
    <w:rsid w:val="00327738"/>
    <w:rsid w:val="003332CA"/>
    <w:rsid w:val="00961C36"/>
    <w:rsid w:val="00B82CAC"/>
    <w:rsid w:val="00C31911"/>
    <w:rsid w:val="00CD6889"/>
    <w:rsid w:val="00D03E15"/>
    <w:rsid w:val="00D07BFF"/>
    <w:rsid w:val="00E22D38"/>
    <w:rsid w:val="00EE076F"/>
    <w:rsid w:val="00F80219"/>
    <w:rsid w:val="00F8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24D69-6387-44B0-BCC5-0F40066A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10</dc:creator>
  <cp:keywords/>
  <dc:description/>
  <cp:lastModifiedBy>PJM</cp:lastModifiedBy>
  <cp:revision>3</cp:revision>
  <dcterms:created xsi:type="dcterms:W3CDTF">2020-08-29T11:00:00Z</dcterms:created>
  <dcterms:modified xsi:type="dcterms:W3CDTF">2020-09-05T17:11:00Z</dcterms:modified>
</cp:coreProperties>
</file>