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5E8D08" w14:textId="03D9E0B4" w:rsidR="00452FC8" w:rsidRPr="002F6145" w:rsidRDefault="00452FC8" w:rsidP="008D4DBE">
      <w:pPr>
        <w:widowControl/>
        <w:jc w:val="center"/>
        <w:rPr>
          <w:rFonts w:ascii="Arial" w:eastAsia="等线" w:hAnsi="Arial" w:cs="Arial"/>
          <w:b/>
          <w:bCs/>
          <w:color w:val="000000"/>
          <w:kern w:val="0"/>
          <w:sz w:val="24"/>
          <w:szCs w:val="24"/>
        </w:rPr>
      </w:pPr>
      <w:r>
        <w:rPr>
          <w:rFonts w:ascii="Arial" w:eastAsia="等线" w:hAnsi="Arial" w:cs="Arial"/>
          <w:b/>
          <w:bCs/>
          <w:color w:val="000000"/>
          <w:kern w:val="0"/>
          <w:sz w:val="24"/>
          <w:szCs w:val="24"/>
        </w:rPr>
        <w:t xml:space="preserve">Supplementary </w:t>
      </w:r>
      <w:r w:rsidRPr="002F6145">
        <w:rPr>
          <w:rFonts w:ascii="Arial" w:eastAsia="等线" w:hAnsi="Arial" w:cs="Arial"/>
          <w:b/>
          <w:bCs/>
          <w:color w:val="000000"/>
          <w:kern w:val="0"/>
          <w:sz w:val="24"/>
          <w:szCs w:val="24"/>
        </w:rPr>
        <w:t>Table 3. Genes related to atherosclerosis</w:t>
      </w:r>
      <w:r>
        <w:rPr>
          <w:rFonts w:ascii="Arial" w:eastAsia="等线" w:hAnsi="Arial" w:cs="Arial"/>
          <w:b/>
          <w:bCs/>
          <w:color w:val="000000"/>
          <w:kern w:val="0"/>
          <w:sz w:val="24"/>
          <w:szCs w:val="24"/>
        </w:rPr>
        <w:t>.</w:t>
      </w:r>
    </w:p>
    <w:tbl>
      <w:tblPr>
        <w:tblW w:w="5120" w:type="pct"/>
        <w:tblLayout w:type="fixed"/>
        <w:tblLook w:val="04A0" w:firstRow="1" w:lastRow="0" w:firstColumn="1" w:lastColumn="0" w:noHBand="0" w:noVBand="1"/>
      </w:tblPr>
      <w:tblGrid>
        <w:gridCol w:w="1456"/>
        <w:gridCol w:w="141"/>
        <w:gridCol w:w="1459"/>
        <w:gridCol w:w="140"/>
        <w:gridCol w:w="2040"/>
        <w:gridCol w:w="873"/>
        <w:gridCol w:w="147"/>
        <w:gridCol w:w="726"/>
        <w:gridCol w:w="1745"/>
      </w:tblGrid>
      <w:tr w:rsidR="00916F45" w:rsidRPr="002C3397" w14:paraId="14BCD66B" w14:textId="77777777" w:rsidTr="003075F3">
        <w:trPr>
          <w:trHeight w:val="310"/>
        </w:trPr>
        <w:tc>
          <w:tcPr>
            <w:tcW w:w="834" w:type="pct"/>
            <w:tcBorders>
              <w:top w:val="single" w:sz="4" w:space="0" w:color="auto"/>
              <w:left w:val="nil"/>
              <w:bottom w:val="single" w:sz="4" w:space="0" w:color="auto"/>
              <w:right w:val="nil"/>
            </w:tcBorders>
            <w:shd w:val="clear" w:color="auto" w:fill="auto"/>
            <w:noWrap/>
            <w:vAlign w:val="center"/>
            <w:hideMark/>
          </w:tcPr>
          <w:p w14:paraId="407373AE" w14:textId="2F231854" w:rsidR="00916F45" w:rsidRPr="002C3397" w:rsidRDefault="00916F45" w:rsidP="00916F45">
            <w:pPr>
              <w:widowControl/>
              <w:jc w:val="center"/>
              <w:rPr>
                <w:rFonts w:ascii="Arial" w:eastAsia="等线" w:hAnsi="Arial" w:cs="Arial"/>
                <w:b/>
                <w:bCs/>
                <w:color w:val="000000"/>
                <w:kern w:val="0"/>
                <w:szCs w:val="21"/>
              </w:rPr>
            </w:pPr>
            <w:r w:rsidRPr="002C3397">
              <w:rPr>
                <w:rFonts w:ascii="Arial" w:eastAsia="等线" w:hAnsi="Arial" w:cs="Arial"/>
                <w:b/>
                <w:bCs/>
                <w:color w:val="000000"/>
                <w:szCs w:val="21"/>
              </w:rPr>
              <w:t>Gene_ID</w:t>
            </w:r>
          </w:p>
        </w:tc>
        <w:tc>
          <w:tcPr>
            <w:tcW w:w="917" w:type="pct"/>
            <w:gridSpan w:val="2"/>
            <w:tcBorders>
              <w:top w:val="single" w:sz="4" w:space="0" w:color="auto"/>
              <w:left w:val="nil"/>
              <w:bottom w:val="single" w:sz="4" w:space="0" w:color="auto"/>
              <w:right w:val="nil"/>
            </w:tcBorders>
            <w:shd w:val="clear" w:color="auto" w:fill="auto"/>
            <w:noWrap/>
            <w:vAlign w:val="center"/>
            <w:hideMark/>
          </w:tcPr>
          <w:p w14:paraId="2829C091" w14:textId="0A893BE7" w:rsidR="00916F45" w:rsidRPr="002C3397" w:rsidRDefault="00916F45" w:rsidP="00916F45">
            <w:pPr>
              <w:widowControl/>
              <w:jc w:val="center"/>
              <w:rPr>
                <w:rFonts w:ascii="Arial" w:eastAsia="等线" w:hAnsi="Arial" w:cs="Arial"/>
                <w:b/>
                <w:bCs/>
                <w:color w:val="000000"/>
                <w:kern w:val="0"/>
                <w:szCs w:val="21"/>
              </w:rPr>
            </w:pPr>
            <w:r w:rsidRPr="002C3397">
              <w:rPr>
                <w:rFonts w:ascii="Arial" w:eastAsia="等线" w:hAnsi="Arial" w:cs="Arial"/>
                <w:b/>
                <w:bCs/>
                <w:color w:val="000000"/>
                <w:szCs w:val="21"/>
              </w:rPr>
              <w:t>Gene_name</w:t>
            </w:r>
          </w:p>
        </w:tc>
        <w:tc>
          <w:tcPr>
            <w:tcW w:w="1249" w:type="pct"/>
            <w:gridSpan w:val="2"/>
            <w:tcBorders>
              <w:top w:val="single" w:sz="4" w:space="0" w:color="auto"/>
              <w:left w:val="nil"/>
              <w:bottom w:val="single" w:sz="4" w:space="0" w:color="auto"/>
              <w:right w:val="nil"/>
            </w:tcBorders>
            <w:shd w:val="clear" w:color="auto" w:fill="auto"/>
            <w:noWrap/>
            <w:vAlign w:val="center"/>
            <w:hideMark/>
          </w:tcPr>
          <w:p w14:paraId="64CD32CC" w14:textId="4FF6747C" w:rsidR="00916F45" w:rsidRPr="002C3397" w:rsidRDefault="00916F45" w:rsidP="00916F45">
            <w:pPr>
              <w:widowControl/>
              <w:jc w:val="center"/>
              <w:rPr>
                <w:rFonts w:ascii="Arial" w:eastAsia="等线" w:hAnsi="Arial" w:cs="Arial"/>
                <w:b/>
                <w:bCs/>
                <w:color w:val="000000"/>
                <w:kern w:val="0"/>
                <w:szCs w:val="21"/>
              </w:rPr>
            </w:pPr>
            <w:r w:rsidRPr="002C3397">
              <w:rPr>
                <w:rFonts w:ascii="Arial" w:eastAsia="等线" w:hAnsi="Arial" w:cs="Arial"/>
                <w:b/>
                <w:bCs/>
                <w:color w:val="000000"/>
                <w:szCs w:val="21"/>
              </w:rPr>
              <w:t>log2</w:t>
            </w:r>
            <w:r w:rsidR="00EE5CBB">
              <w:rPr>
                <w:rFonts w:ascii="Arial" w:eastAsia="等线" w:hAnsi="Arial" w:cs="Arial"/>
                <w:b/>
                <w:bCs/>
                <w:color w:val="000000"/>
                <w:szCs w:val="21"/>
              </w:rPr>
              <w:t>FC</w:t>
            </w:r>
          </w:p>
        </w:tc>
        <w:tc>
          <w:tcPr>
            <w:tcW w:w="584" w:type="pct"/>
            <w:gridSpan w:val="2"/>
            <w:tcBorders>
              <w:top w:val="single" w:sz="4" w:space="0" w:color="auto"/>
              <w:left w:val="nil"/>
              <w:bottom w:val="single" w:sz="4" w:space="0" w:color="auto"/>
              <w:right w:val="nil"/>
            </w:tcBorders>
            <w:shd w:val="clear" w:color="auto" w:fill="auto"/>
            <w:noWrap/>
            <w:vAlign w:val="center"/>
            <w:hideMark/>
          </w:tcPr>
          <w:p w14:paraId="2F2297D3" w14:textId="76969A33" w:rsidR="00916F45" w:rsidRPr="002C3397" w:rsidRDefault="00916F45" w:rsidP="00916F45">
            <w:pPr>
              <w:widowControl/>
              <w:jc w:val="center"/>
              <w:rPr>
                <w:rFonts w:ascii="Arial" w:eastAsia="等线" w:hAnsi="Arial" w:cs="Arial"/>
                <w:b/>
                <w:bCs/>
                <w:color w:val="000000"/>
                <w:kern w:val="0"/>
                <w:szCs w:val="21"/>
              </w:rPr>
            </w:pPr>
            <w:r w:rsidRPr="002C3397">
              <w:rPr>
                <w:rFonts w:ascii="Arial" w:eastAsia="等线" w:hAnsi="Arial" w:cs="Arial"/>
                <w:b/>
                <w:bCs/>
                <w:i/>
                <w:iCs/>
                <w:color w:val="000000"/>
                <w:szCs w:val="21"/>
              </w:rPr>
              <w:t xml:space="preserve">P </w:t>
            </w:r>
            <w:r w:rsidR="002C3397" w:rsidRPr="002C3397">
              <w:rPr>
                <w:rFonts w:ascii="Arial" w:eastAsia="等线" w:hAnsi="Arial" w:cs="Arial"/>
                <w:b/>
                <w:bCs/>
                <w:i/>
                <w:iCs/>
                <w:color w:val="000000"/>
                <w:szCs w:val="21"/>
              </w:rPr>
              <w:t>v</w:t>
            </w:r>
            <w:r w:rsidRPr="002C3397">
              <w:rPr>
                <w:rFonts w:ascii="Arial" w:eastAsia="等线" w:hAnsi="Arial" w:cs="Arial"/>
                <w:b/>
                <w:bCs/>
                <w:color w:val="000000"/>
                <w:szCs w:val="21"/>
              </w:rPr>
              <w:t>alue</w:t>
            </w:r>
          </w:p>
        </w:tc>
        <w:tc>
          <w:tcPr>
            <w:tcW w:w="416" w:type="pct"/>
            <w:tcBorders>
              <w:top w:val="single" w:sz="4" w:space="0" w:color="auto"/>
              <w:left w:val="nil"/>
              <w:bottom w:val="single" w:sz="4" w:space="0" w:color="auto"/>
              <w:right w:val="nil"/>
            </w:tcBorders>
            <w:shd w:val="clear" w:color="auto" w:fill="auto"/>
            <w:noWrap/>
            <w:vAlign w:val="center"/>
            <w:hideMark/>
          </w:tcPr>
          <w:p w14:paraId="5D2739B7" w14:textId="3AE3A85B" w:rsidR="00916F45" w:rsidRPr="002C3397" w:rsidRDefault="00456A95" w:rsidP="00916F45">
            <w:pPr>
              <w:widowControl/>
              <w:jc w:val="center"/>
              <w:rPr>
                <w:rFonts w:ascii="Arial" w:eastAsia="等线" w:hAnsi="Arial" w:cs="Arial"/>
                <w:b/>
                <w:bCs/>
                <w:color w:val="000000"/>
                <w:kern w:val="0"/>
                <w:szCs w:val="21"/>
              </w:rPr>
            </w:pPr>
            <w:r>
              <w:rPr>
                <w:rFonts w:ascii="Arial" w:eastAsia="等线" w:hAnsi="Arial" w:cs="Arial"/>
                <w:b/>
                <w:bCs/>
                <w:i/>
                <w:iCs/>
                <w:color w:val="000000"/>
                <w:szCs w:val="21"/>
              </w:rPr>
              <w:t>P</w:t>
            </w:r>
            <w:r w:rsidR="00916F45" w:rsidRPr="002C3397">
              <w:rPr>
                <w:rFonts w:ascii="Arial" w:eastAsia="等线" w:hAnsi="Arial" w:cs="Arial"/>
                <w:b/>
                <w:bCs/>
                <w:color w:val="000000"/>
                <w:szCs w:val="21"/>
              </w:rPr>
              <w:t>adj</w:t>
            </w:r>
          </w:p>
        </w:tc>
        <w:tc>
          <w:tcPr>
            <w:tcW w:w="1000" w:type="pct"/>
            <w:tcBorders>
              <w:top w:val="nil"/>
              <w:left w:val="nil"/>
              <w:bottom w:val="single" w:sz="4" w:space="0" w:color="auto"/>
              <w:right w:val="nil"/>
            </w:tcBorders>
            <w:shd w:val="clear" w:color="auto" w:fill="auto"/>
            <w:noWrap/>
            <w:vAlign w:val="bottom"/>
            <w:hideMark/>
          </w:tcPr>
          <w:p w14:paraId="44DE06EF" w14:textId="51146E62" w:rsidR="00916F45" w:rsidRPr="002C3397" w:rsidRDefault="00916F45" w:rsidP="00916F45">
            <w:pPr>
              <w:widowControl/>
              <w:jc w:val="center"/>
              <w:rPr>
                <w:rFonts w:ascii="Arial" w:eastAsia="等线" w:hAnsi="Arial" w:cs="Arial"/>
                <w:b/>
                <w:bCs/>
                <w:color w:val="000000"/>
                <w:kern w:val="0"/>
                <w:szCs w:val="21"/>
              </w:rPr>
            </w:pPr>
            <w:r w:rsidRPr="002C3397">
              <w:rPr>
                <w:rFonts w:ascii="Arial" w:eastAsia="等线" w:hAnsi="Arial" w:cs="Arial"/>
                <w:b/>
                <w:bCs/>
                <w:color w:val="000000"/>
                <w:kern w:val="0"/>
                <w:szCs w:val="21"/>
              </w:rPr>
              <w:t> </w:t>
            </w:r>
            <w:r w:rsidR="00462679" w:rsidRPr="002C3397">
              <w:rPr>
                <w:rFonts w:ascii="Arial" w:eastAsia="等线" w:hAnsi="Arial" w:cs="Arial"/>
                <w:b/>
                <w:bCs/>
                <w:color w:val="000000"/>
                <w:kern w:val="0"/>
                <w:szCs w:val="21"/>
              </w:rPr>
              <w:t>R</w:t>
            </w:r>
            <w:r w:rsidRPr="002C3397">
              <w:rPr>
                <w:rFonts w:ascii="Arial" w:eastAsia="等线" w:hAnsi="Arial" w:cs="Arial"/>
                <w:b/>
                <w:bCs/>
                <w:color w:val="000000"/>
                <w:kern w:val="0"/>
                <w:szCs w:val="21"/>
              </w:rPr>
              <w:t>eferences</w:t>
            </w:r>
          </w:p>
        </w:tc>
      </w:tr>
      <w:tr w:rsidR="00916F45" w:rsidRPr="002C3397" w14:paraId="05BA8F8D"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2B7A8750" w14:textId="4DBA3F75"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ENSMUSG00000015837</w:t>
            </w:r>
          </w:p>
        </w:tc>
        <w:tc>
          <w:tcPr>
            <w:tcW w:w="916" w:type="pct"/>
            <w:gridSpan w:val="2"/>
            <w:tcBorders>
              <w:top w:val="nil"/>
              <w:left w:val="nil"/>
              <w:bottom w:val="nil"/>
              <w:right w:val="nil"/>
            </w:tcBorders>
            <w:shd w:val="clear" w:color="auto" w:fill="auto"/>
            <w:noWrap/>
            <w:vAlign w:val="center"/>
            <w:hideMark/>
          </w:tcPr>
          <w:p w14:paraId="16A5C3A2" w14:textId="02B87843"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Sqstm1</w:t>
            </w:r>
          </w:p>
        </w:tc>
        <w:tc>
          <w:tcPr>
            <w:tcW w:w="1169" w:type="pct"/>
            <w:tcBorders>
              <w:top w:val="nil"/>
              <w:left w:val="nil"/>
              <w:bottom w:val="nil"/>
              <w:right w:val="nil"/>
            </w:tcBorders>
            <w:shd w:val="clear" w:color="auto" w:fill="auto"/>
            <w:noWrap/>
            <w:vAlign w:val="center"/>
            <w:hideMark/>
          </w:tcPr>
          <w:p w14:paraId="704EE0D6" w14:textId="2E5DFF6E"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2.671 </w:t>
            </w:r>
          </w:p>
        </w:tc>
        <w:tc>
          <w:tcPr>
            <w:tcW w:w="500" w:type="pct"/>
            <w:tcBorders>
              <w:top w:val="nil"/>
              <w:left w:val="nil"/>
              <w:bottom w:val="nil"/>
              <w:right w:val="nil"/>
            </w:tcBorders>
            <w:shd w:val="clear" w:color="auto" w:fill="auto"/>
            <w:noWrap/>
            <w:vAlign w:val="center"/>
            <w:hideMark/>
          </w:tcPr>
          <w:p w14:paraId="1D145A6B" w14:textId="597110F6"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30DD8B45" w14:textId="7F2BD633"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3E34AC16" w14:textId="0B2B5F0F"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1-3</w:t>
            </w:r>
            <w:r w:rsidRPr="002C3397">
              <w:rPr>
                <w:rFonts w:ascii="Arial" w:eastAsia="等线" w:hAnsi="Arial" w:cs="Arial"/>
                <w:noProof/>
                <w:color w:val="000000"/>
                <w:kern w:val="0"/>
                <w:szCs w:val="21"/>
              </w:rPr>
              <w:t>]</w:t>
            </w:r>
          </w:p>
        </w:tc>
      </w:tr>
      <w:tr w:rsidR="00916F45" w:rsidRPr="002C3397" w14:paraId="5505C788"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6121D99B" w14:textId="61A03ABB"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ENSMUSG00000070327</w:t>
            </w:r>
          </w:p>
        </w:tc>
        <w:tc>
          <w:tcPr>
            <w:tcW w:w="916" w:type="pct"/>
            <w:gridSpan w:val="2"/>
            <w:tcBorders>
              <w:top w:val="nil"/>
              <w:left w:val="nil"/>
              <w:bottom w:val="nil"/>
              <w:right w:val="nil"/>
            </w:tcBorders>
            <w:shd w:val="clear" w:color="auto" w:fill="auto"/>
            <w:noWrap/>
            <w:vAlign w:val="center"/>
            <w:hideMark/>
          </w:tcPr>
          <w:p w14:paraId="6AA5F0CA" w14:textId="45B3BCF3"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Rnf213</w:t>
            </w:r>
          </w:p>
        </w:tc>
        <w:tc>
          <w:tcPr>
            <w:tcW w:w="1169" w:type="pct"/>
            <w:tcBorders>
              <w:top w:val="nil"/>
              <w:left w:val="nil"/>
              <w:bottom w:val="nil"/>
              <w:right w:val="nil"/>
            </w:tcBorders>
            <w:shd w:val="clear" w:color="auto" w:fill="auto"/>
            <w:noWrap/>
            <w:vAlign w:val="center"/>
            <w:hideMark/>
          </w:tcPr>
          <w:p w14:paraId="7B135B48" w14:textId="7C5E3C0A"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-3.729 </w:t>
            </w:r>
          </w:p>
        </w:tc>
        <w:tc>
          <w:tcPr>
            <w:tcW w:w="500" w:type="pct"/>
            <w:tcBorders>
              <w:top w:val="nil"/>
              <w:left w:val="nil"/>
              <w:bottom w:val="nil"/>
              <w:right w:val="nil"/>
            </w:tcBorders>
            <w:shd w:val="clear" w:color="auto" w:fill="auto"/>
            <w:noWrap/>
            <w:vAlign w:val="center"/>
            <w:hideMark/>
          </w:tcPr>
          <w:p w14:paraId="30A1DA8F" w14:textId="13E47349"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4C4A6E19" w14:textId="0BAA8E82"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5E6EA03A" w14:textId="00EEFDDA"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4</w:t>
            </w:r>
            <w:r w:rsidRPr="002C3397">
              <w:rPr>
                <w:rFonts w:ascii="Arial" w:eastAsia="等线" w:hAnsi="Arial" w:cs="Arial"/>
                <w:noProof/>
                <w:color w:val="000000"/>
                <w:kern w:val="0"/>
                <w:szCs w:val="21"/>
              </w:rPr>
              <w:t>]</w:t>
            </w:r>
          </w:p>
        </w:tc>
      </w:tr>
      <w:tr w:rsidR="00916F45" w:rsidRPr="002C3397" w14:paraId="5A092225"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59C48CEA" w14:textId="41CDE62D"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ENSMUSG00000028691</w:t>
            </w:r>
          </w:p>
        </w:tc>
        <w:tc>
          <w:tcPr>
            <w:tcW w:w="916" w:type="pct"/>
            <w:gridSpan w:val="2"/>
            <w:tcBorders>
              <w:top w:val="nil"/>
              <w:left w:val="nil"/>
              <w:bottom w:val="nil"/>
              <w:right w:val="nil"/>
            </w:tcBorders>
            <w:shd w:val="clear" w:color="auto" w:fill="auto"/>
            <w:noWrap/>
            <w:vAlign w:val="center"/>
            <w:hideMark/>
          </w:tcPr>
          <w:p w14:paraId="645EC50C" w14:textId="20A177F7"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Prdx1</w:t>
            </w:r>
          </w:p>
        </w:tc>
        <w:tc>
          <w:tcPr>
            <w:tcW w:w="1169" w:type="pct"/>
            <w:tcBorders>
              <w:top w:val="nil"/>
              <w:left w:val="nil"/>
              <w:bottom w:val="nil"/>
              <w:right w:val="nil"/>
            </w:tcBorders>
            <w:shd w:val="clear" w:color="auto" w:fill="auto"/>
            <w:noWrap/>
            <w:vAlign w:val="center"/>
            <w:hideMark/>
          </w:tcPr>
          <w:p w14:paraId="22BA479C" w14:textId="7DDADFCA"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2.246 </w:t>
            </w:r>
          </w:p>
        </w:tc>
        <w:tc>
          <w:tcPr>
            <w:tcW w:w="500" w:type="pct"/>
            <w:tcBorders>
              <w:top w:val="nil"/>
              <w:left w:val="nil"/>
              <w:bottom w:val="nil"/>
              <w:right w:val="nil"/>
            </w:tcBorders>
            <w:shd w:val="clear" w:color="auto" w:fill="auto"/>
            <w:noWrap/>
            <w:vAlign w:val="center"/>
            <w:hideMark/>
          </w:tcPr>
          <w:p w14:paraId="5F59F4E0" w14:textId="2BB59559"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191420FA" w14:textId="60640C83"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3441C401" w14:textId="4D181BAF"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5</w:t>
            </w:r>
            <w:r w:rsidRPr="002C3397">
              <w:rPr>
                <w:rFonts w:ascii="Arial" w:eastAsia="等线" w:hAnsi="Arial" w:cs="Arial"/>
                <w:noProof/>
                <w:color w:val="000000"/>
                <w:kern w:val="0"/>
                <w:szCs w:val="21"/>
              </w:rPr>
              <w:t>]</w:t>
            </w:r>
          </w:p>
        </w:tc>
      </w:tr>
      <w:tr w:rsidR="00916F45" w:rsidRPr="002C3397" w14:paraId="5B580768"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2B6FBFBB" w14:textId="486A1F10"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ENSMUSG00000058427</w:t>
            </w:r>
          </w:p>
        </w:tc>
        <w:tc>
          <w:tcPr>
            <w:tcW w:w="916" w:type="pct"/>
            <w:gridSpan w:val="2"/>
            <w:tcBorders>
              <w:top w:val="nil"/>
              <w:left w:val="nil"/>
              <w:bottom w:val="nil"/>
              <w:right w:val="nil"/>
            </w:tcBorders>
            <w:shd w:val="clear" w:color="auto" w:fill="auto"/>
            <w:noWrap/>
            <w:vAlign w:val="center"/>
            <w:hideMark/>
          </w:tcPr>
          <w:p w14:paraId="791B3E0D" w14:textId="08788FC2"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Cxcl2</w:t>
            </w:r>
          </w:p>
        </w:tc>
        <w:tc>
          <w:tcPr>
            <w:tcW w:w="1169" w:type="pct"/>
            <w:tcBorders>
              <w:top w:val="nil"/>
              <w:left w:val="nil"/>
              <w:bottom w:val="nil"/>
              <w:right w:val="nil"/>
            </w:tcBorders>
            <w:shd w:val="clear" w:color="auto" w:fill="auto"/>
            <w:noWrap/>
            <w:vAlign w:val="center"/>
            <w:hideMark/>
          </w:tcPr>
          <w:p w14:paraId="25285FC0" w14:textId="04EB84EC"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4.226 </w:t>
            </w:r>
          </w:p>
        </w:tc>
        <w:tc>
          <w:tcPr>
            <w:tcW w:w="500" w:type="pct"/>
            <w:tcBorders>
              <w:top w:val="nil"/>
              <w:left w:val="nil"/>
              <w:bottom w:val="nil"/>
              <w:right w:val="nil"/>
            </w:tcBorders>
            <w:shd w:val="clear" w:color="auto" w:fill="auto"/>
            <w:noWrap/>
            <w:vAlign w:val="center"/>
            <w:hideMark/>
          </w:tcPr>
          <w:p w14:paraId="18EE194D" w14:textId="5644C7BD"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014D5C91" w14:textId="1273F092"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0FE4E5FE" w14:textId="70782163"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6</w:t>
            </w:r>
            <w:r w:rsidRPr="002C3397">
              <w:rPr>
                <w:rFonts w:ascii="Arial" w:eastAsia="等线" w:hAnsi="Arial" w:cs="Arial"/>
                <w:noProof/>
                <w:color w:val="000000"/>
                <w:kern w:val="0"/>
                <w:szCs w:val="21"/>
              </w:rPr>
              <w:t xml:space="preserve">, </w:t>
            </w:r>
            <w:r w:rsidR="00F05D34" w:rsidRPr="002C3397">
              <w:rPr>
                <w:rFonts w:ascii="Arial" w:eastAsia="等线" w:hAnsi="Arial" w:cs="Arial"/>
                <w:noProof/>
                <w:color w:val="000000"/>
                <w:kern w:val="0"/>
                <w:szCs w:val="21"/>
              </w:rPr>
              <w:t>7</w:t>
            </w:r>
            <w:r w:rsidRPr="002C3397">
              <w:rPr>
                <w:rFonts w:ascii="Arial" w:eastAsia="等线" w:hAnsi="Arial" w:cs="Arial"/>
                <w:noProof/>
                <w:color w:val="000000"/>
                <w:kern w:val="0"/>
                <w:szCs w:val="21"/>
              </w:rPr>
              <w:t>]</w:t>
            </w:r>
          </w:p>
        </w:tc>
      </w:tr>
      <w:tr w:rsidR="00916F45" w:rsidRPr="002C3397" w14:paraId="1014EC0B"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5B2106B8" w14:textId="3EE841BA"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ENSMUSG00000025203</w:t>
            </w:r>
          </w:p>
        </w:tc>
        <w:tc>
          <w:tcPr>
            <w:tcW w:w="916" w:type="pct"/>
            <w:gridSpan w:val="2"/>
            <w:tcBorders>
              <w:top w:val="nil"/>
              <w:left w:val="nil"/>
              <w:bottom w:val="nil"/>
              <w:right w:val="nil"/>
            </w:tcBorders>
            <w:shd w:val="clear" w:color="auto" w:fill="auto"/>
            <w:noWrap/>
            <w:vAlign w:val="center"/>
            <w:hideMark/>
          </w:tcPr>
          <w:p w14:paraId="1D0BB296" w14:textId="605104D5"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Scd2</w:t>
            </w:r>
          </w:p>
        </w:tc>
        <w:tc>
          <w:tcPr>
            <w:tcW w:w="1169" w:type="pct"/>
            <w:tcBorders>
              <w:top w:val="nil"/>
              <w:left w:val="nil"/>
              <w:bottom w:val="nil"/>
              <w:right w:val="nil"/>
            </w:tcBorders>
            <w:shd w:val="clear" w:color="auto" w:fill="auto"/>
            <w:noWrap/>
            <w:vAlign w:val="center"/>
            <w:hideMark/>
          </w:tcPr>
          <w:p w14:paraId="64CEF3FD" w14:textId="0C3ADE9B"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-4.570 </w:t>
            </w:r>
          </w:p>
        </w:tc>
        <w:tc>
          <w:tcPr>
            <w:tcW w:w="500" w:type="pct"/>
            <w:tcBorders>
              <w:top w:val="nil"/>
              <w:left w:val="nil"/>
              <w:bottom w:val="nil"/>
              <w:right w:val="nil"/>
            </w:tcBorders>
            <w:shd w:val="clear" w:color="auto" w:fill="auto"/>
            <w:noWrap/>
            <w:vAlign w:val="center"/>
            <w:hideMark/>
          </w:tcPr>
          <w:p w14:paraId="72732665" w14:textId="7CA72D28"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4694E9B3" w14:textId="203624F2"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59D65F5A" w14:textId="21BC06A0"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8</w:t>
            </w:r>
            <w:r w:rsidRPr="002C3397">
              <w:rPr>
                <w:rFonts w:ascii="Arial" w:eastAsia="等线" w:hAnsi="Arial" w:cs="Arial"/>
                <w:noProof/>
                <w:color w:val="000000"/>
                <w:kern w:val="0"/>
                <w:szCs w:val="21"/>
              </w:rPr>
              <w:t>]</w:t>
            </w:r>
          </w:p>
        </w:tc>
      </w:tr>
      <w:tr w:rsidR="00916F45" w:rsidRPr="002C3397" w14:paraId="3C6724A7"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0DB02E80" w14:textId="5FF36982"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ENSMUSG00000005413</w:t>
            </w:r>
          </w:p>
        </w:tc>
        <w:tc>
          <w:tcPr>
            <w:tcW w:w="916" w:type="pct"/>
            <w:gridSpan w:val="2"/>
            <w:tcBorders>
              <w:top w:val="nil"/>
              <w:left w:val="nil"/>
              <w:bottom w:val="nil"/>
              <w:right w:val="nil"/>
            </w:tcBorders>
            <w:shd w:val="clear" w:color="auto" w:fill="auto"/>
            <w:noWrap/>
            <w:vAlign w:val="center"/>
            <w:hideMark/>
          </w:tcPr>
          <w:p w14:paraId="3AF4A96F" w14:textId="24900A08"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Hmox1</w:t>
            </w:r>
          </w:p>
        </w:tc>
        <w:tc>
          <w:tcPr>
            <w:tcW w:w="1169" w:type="pct"/>
            <w:tcBorders>
              <w:top w:val="nil"/>
              <w:left w:val="nil"/>
              <w:bottom w:val="nil"/>
              <w:right w:val="nil"/>
            </w:tcBorders>
            <w:shd w:val="clear" w:color="auto" w:fill="auto"/>
            <w:noWrap/>
            <w:vAlign w:val="center"/>
            <w:hideMark/>
          </w:tcPr>
          <w:p w14:paraId="5714E55C" w14:textId="02A8FF10"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2.911 </w:t>
            </w:r>
          </w:p>
        </w:tc>
        <w:tc>
          <w:tcPr>
            <w:tcW w:w="500" w:type="pct"/>
            <w:tcBorders>
              <w:top w:val="nil"/>
              <w:left w:val="nil"/>
              <w:bottom w:val="nil"/>
              <w:right w:val="nil"/>
            </w:tcBorders>
            <w:shd w:val="clear" w:color="auto" w:fill="auto"/>
            <w:noWrap/>
            <w:vAlign w:val="center"/>
            <w:hideMark/>
          </w:tcPr>
          <w:p w14:paraId="57AFD2B0" w14:textId="46603589"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0F3282BB" w14:textId="3E384DA3"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1FCDFCC7" w14:textId="17CB4662"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9</w:t>
            </w:r>
            <w:r w:rsidRPr="002C3397">
              <w:rPr>
                <w:rFonts w:ascii="Arial" w:eastAsia="等线" w:hAnsi="Arial" w:cs="Arial"/>
                <w:noProof/>
                <w:color w:val="000000"/>
                <w:kern w:val="0"/>
                <w:szCs w:val="21"/>
              </w:rPr>
              <w:t xml:space="preserve">, </w:t>
            </w:r>
            <w:r w:rsidR="00F05D34" w:rsidRPr="002C3397">
              <w:rPr>
                <w:rFonts w:ascii="Arial" w:eastAsia="等线" w:hAnsi="Arial" w:cs="Arial"/>
                <w:noProof/>
                <w:color w:val="000000"/>
                <w:kern w:val="0"/>
                <w:szCs w:val="21"/>
              </w:rPr>
              <w:t>10</w:t>
            </w:r>
            <w:r w:rsidRPr="002C3397">
              <w:rPr>
                <w:rFonts w:ascii="Arial" w:eastAsia="等线" w:hAnsi="Arial" w:cs="Arial"/>
                <w:noProof/>
                <w:color w:val="000000"/>
                <w:kern w:val="0"/>
                <w:szCs w:val="21"/>
              </w:rPr>
              <w:t>]</w:t>
            </w:r>
          </w:p>
        </w:tc>
      </w:tr>
      <w:tr w:rsidR="00916F45" w:rsidRPr="002C3397" w14:paraId="2E3FB9A0"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5BF5E3A6" w14:textId="5E8D269E"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ENSMUSG00000024621</w:t>
            </w:r>
          </w:p>
        </w:tc>
        <w:tc>
          <w:tcPr>
            <w:tcW w:w="916" w:type="pct"/>
            <w:gridSpan w:val="2"/>
            <w:tcBorders>
              <w:top w:val="nil"/>
              <w:left w:val="nil"/>
              <w:bottom w:val="nil"/>
              <w:right w:val="nil"/>
            </w:tcBorders>
            <w:shd w:val="clear" w:color="auto" w:fill="auto"/>
            <w:noWrap/>
            <w:vAlign w:val="center"/>
            <w:hideMark/>
          </w:tcPr>
          <w:p w14:paraId="032B2E00" w14:textId="3270725D"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Csf1r</w:t>
            </w:r>
          </w:p>
        </w:tc>
        <w:tc>
          <w:tcPr>
            <w:tcW w:w="1169" w:type="pct"/>
            <w:tcBorders>
              <w:top w:val="nil"/>
              <w:left w:val="nil"/>
              <w:bottom w:val="nil"/>
              <w:right w:val="nil"/>
            </w:tcBorders>
            <w:shd w:val="clear" w:color="auto" w:fill="auto"/>
            <w:noWrap/>
            <w:vAlign w:val="center"/>
            <w:hideMark/>
          </w:tcPr>
          <w:p w14:paraId="2A906F8C" w14:textId="1868E6F9"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-2.026 </w:t>
            </w:r>
          </w:p>
        </w:tc>
        <w:tc>
          <w:tcPr>
            <w:tcW w:w="500" w:type="pct"/>
            <w:tcBorders>
              <w:top w:val="nil"/>
              <w:left w:val="nil"/>
              <w:bottom w:val="nil"/>
              <w:right w:val="nil"/>
            </w:tcBorders>
            <w:shd w:val="clear" w:color="auto" w:fill="auto"/>
            <w:noWrap/>
            <w:vAlign w:val="center"/>
            <w:hideMark/>
          </w:tcPr>
          <w:p w14:paraId="02141486" w14:textId="23425E18"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576407CF" w14:textId="31447ABA"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338C73B5" w14:textId="7710207D"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11</w:t>
            </w:r>
            <w:r w:rsidRPr="002C3397">
              <w:rPr>
                <w:rFonts w:ascii="Arial" w:eastAsia="等线" w:hAnsi="Arial" w:cs="Arial"/>
                <w:noProof/>
                <w:color w:val="000000"/>
                <w:kern w:val="0"/>
                <w:szCs w:val="21"/>
              </w:rPr>
              <w:t>]</w:t>
            </w:r>
          </w:p>
        </w:tc>
      </w:tr>
      <w:tr w:rsidR="00916F45" w:rsidRPr="002C3397" w14:paraId="30E81007"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5DC104EB" w14:textId="44B56987"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ENSMUSG00000015568</w:t>
            </w:r>
          </w:p>
        </w:tc>
        <w:tc>
          <w:tcPr>
            <w:tcW w:w="916" w:type="pct"/>
            <w:gridSpan w:val="2"/>
            <w:tcBorders>
              <w:top w:val="nil"/>
              <w:left w:val="nil"/>
              <w:bottom w:val="nil"/>
              <w:right w:val="nil"/>
            </w:tcBorders>
            <w:shd w:val="clear" w:color="auto" w:fill="auto"/>
            <w:noWrap/>
            <w:vAlign w:val="center"/>
            <w:hideMark/>
          </w:tcPr>
          <w:p w14:paraId="50E68463" w14:textId="162DEFA4"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Lpl</w:t>
            </w:r>
          </w:p>
        </w:tc>
        <w:tc>
          <w:tcPr>
            <w:tcW w:w="1169" w:type="pct"/>
            <w:tcBorders>
              <w:top w:val="nil"/>
              <w:left w:val="nil"/>
              <w:bottom w:val="nil"/>
              <w:right w:val="nil"/>
            </w:tcBorders>
            <w:shd w:val="clear" w:color="auto" w:fill="auto"/>
            <w:noWrap/>
            <w:vAlign w:val="center"/>
            <w:hideMark/>
          </w:tcPr>
          <w:p w14:paraId="36719BB6" w14:textId="24BE5BBA"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-3.524 </w:t>
            </w:r>
          </w:p>
        </w:tc>
        <w:tc>
          <w:tcPr>
            <w:tcW w:w="500" w:type="pct"/>
            <w:tcBorders>
              <w:top w:val="nil"/>
              <w:left w:val="nil"/>
              <w:bottom w:val="nil"/>
              <w:right w:val="nil"/>
            </w:tcBorders>
            <w:shd w:val="clear" w:color="auto" w:fill="auto"/>
            <w:noWrap/>
            <w:vAlign w:val="center"/>
            <w:hideMark/>
          </w:tcPr>
          <w:p w14:paraId="3F6F757A" w14:textId="4705EF3D"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31FA936D" w14:textId="2A0813A0"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74F688B9" w14:textId="471CA892"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12</w:t>
            </w:r>
            <w:r w:rsidRPr="002C3397">
              <w:rPr>
                <w:rFonts w:ascii="Arial" w:eastAsia="等线" w:hAnsi="Arial" w:cs="Arial"/>
                <w:noProof/>
                <w:color w:val="000000"/>
                <w:kern w:val="0"/>
                <w:szCs w:val="21"/>
              </w:rPr>
              <w:t>]</w:t>
            </w:r>
          </w:p>
        </w:tc>
      </w:tr>
      <w:tr w:rsidR="00916F45" w:rsidRPr="002C3397" w14:paraId="79AA5C03"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51BBA8E5" w14:textId="0EC18FC1"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ENSMUSG00000032487</w:t>
            </w:r>
          </w:p>
        </w:tc>
        <w:tc>
          <w:tcPr>
            <w:tcW w:w="916" w:type="pct"/>
            <w:gridSpan w:val="2"/>
            <w:tcBorders>
              <w:top w:val="nil"/>
              <w:left w:val="nil"/>
              <w:bottom w:val="nil"/>
              <w:right w:val="nil"/>
            </w:tcBorders>
            <w:shd w:val="clear" w:color="auto" w:fill="auto"/>
            <w:noWrap/>
            <w:vAlign w:val="center"/>
            <w:hideMark/>
          </w:tcPr>
          <w:p w14:paraId="274B368E" w14:textId="574E1B29"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Ptgs2</w:t>
            </w:r>
          </w:p>
        </w:tc>
        <w:tc>
          <w:tcPr>
            <w:tcW w:w="1169" w:type="pct"/>
            <w:tcBorders>
              <w:top w:val="nil"/>
              <w:left w:val="nil"/>
              <w:bottom w:val="nil"/>
              <w:right w:val="nil"/>
            </w:tcBorders>
            <w:shd w:val="clear" w:color="auto" w:fill="auto"/>
            <w:noWrap/>
            <w:vAlign w:val="center"/>
            <w:hideMark/>
          </w:tcPr>
          <w:p w14:paraId="0B78A581" w14:textId="1F97E4DE"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2.184 </w:t>
            </w:r>
          </w:p>
        </w:tc>
        <w:tc>
          <w:tcPr>
            <w:tcW w:w="500" w:type="pct"/>
            <w:tcBorders>
              <w:top w:val="nil"/>
              <w:left w:val="nil"/>
              <w:bottom w:val="nil"/>
              <w:right w:val="nil"/>
            </w:tcBorders>
            <w:shd w:val="clear" w:color="auto" w:fill="auto"/>
            <w:noWrap/>
            <w:vAlign w:val="center"/>
            <w:hideMark/>
          </w:tcPr>
          <w:p w14:paraId="2E71F705" w14:textId="5ADFFCA8"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651E3449" w14:textId="5C4912F4"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52C8BA92" w14:textId="60BE7731"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13</w:t>
            </w:r>
            <w:r w:rsidRPr="002C3397">
              <w:rPr>
                <w:rFonts w:ascii="Arial" w:eastAsia="等线" w:hAnsi="Arial" w:cs="Arial"/>
                <w:noProof/>
                <w:color w:val="000000"/>
                <w:kern w:val="0"/>
                <w:szCs w:val="21"/>
              </w:rPr>
              <w:t>]</w:t>
            </w:r>
          </w:p>
        </w:tc>
      </w:tr>
      <w:tr w:rsidR="00916F45" w:rsidRPr="002C3397" w14:paraId="16805D55"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1798CB4A" w14:textId="2794A310"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ENSMUSG00000003541</w:t>
            </w:r>
          </w:p>
        </w:tc>
        <w:tc>
          <w:tcPr>
            <w:tcW w:w="916" w:type="pct"/>
            <w:gridSpan w:val="2"/>
            <w:tcBorders>
              <w:top w:val="nil"/>
              <w:left w:val="nil"/>
              <w:bottom w:val="nil"/>
              <w:right w:val="nil"/>
            </w:tcBorders>
            <w:shd w:val="clear" w:color="auto" w:fill="auto"/>
            <w:noWrap/>
            <w:vAlign w:val="center"/>
            <w:hideMark/>
          </w:tcPr>
          <w:p w14:paraId="5BBB9472" w14:textId="1F963C08"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Ier3</w:t>
            </w:r>
          </w:p>
        </w:tc>
        <w:tc>
          <w:tcPr>
            <w:tcW w:w="1169" w:type="pct"/>
            <w:tcBorders>
              <w:top w:val="nil"/>
              <w:left w:val="nil"/>
              <w:bottom w:val="nil"/>
              <w:right w:val="nil"/>
            </w:tcBorders>
            <w:shd w:val="clear" w:color="auto" w:fill="auto"/>
            <w:noWrap/>
            <w:vAlign w:val="center"/>
            <w:hideMark/>
          </w:tcPr>
          <w:p w14:paraId="463ACCF4" w14:textId="7EA93BF0"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3.404 </w:t>
            </w:r>
          </w:p>
        </w:tc>
        <w:tc>
          <w:tcPr>
            <w:tcW w:w="500" w:type="pct"/>
            <w:tcBorders>
              <w:top w:val="nil"/>
              <w:left w:val="nil"/>
              <w:bottom w:val="nil"/>
              <w:right w:val="nil"/>
            </w:tcBorders>
            <w:shd w:val="clear" w:color="auto" w:fill="auto"/>
            <w:noWrap/>
            <w:vAlign w:val="center"/>
            <w:hideMark/>
          </w:tcPr>
          <w:p w14:paraId="58D589ED" w14:textId="271AF1CE"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13192869" w14:textId="59EC2361"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472FF96B" w14:textId="1B2077DC"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3</w:t>
            </w:r>
            <w:r w:rsidRPr="002C3397">
              <w:rPr>
                <w:rFonts w:ascii="Arial" w:eastAsia="等线" w:hAnsi="Arial" w:cs="Arial"/>
                <w:noProof/>
                <w:color w:val="000000"/>
                <w:kern w:val="0"/>
                <w:szCs w:val="21"/>
              </w:rPr>
              <w:t>]</w:t>
            </w:r>
          </w:p>
        </w:tc>
      </w:tr>
      <w:tr w:rsidR="00916F45" w:rsidRPr="002C3397" w14:paraId="4C231283"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55894917" w14:textId="12521EAC"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ENSMUSG00000027737</w:t>
            </w:r>
          </w:p>
        </w:tc>
        <w:tc>
          <w:tcPr>
            <w:tcW w:w="916" w:type="pct"/>
            <w:gridSpan w:val="2"/>
            <w:tcBorders>
              <w:top w:val="nil"/>
              <w:left w:val="nil"/>
              <w:bottom w:val="nil"/>
              <w:right w:val="nil"/>
            </w:tcBorders>
            <w:shd w:val="clear" w:color="auto" w:fill="auto"/>
            <w:noWrap/>
            <w:vAlign w:val="center"/>
            <w:hideMark/>
          </w:tcPr>
          <w:p w14:paraId="0EC5CE93" w14:textId="154DB4AF"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Slc7a11</w:t>
            </w:r>
          </w:p>
        </w:tc>
        <w:tc>
          <w:tcPr>
            <w:tcW w:w="1169" w:type="pct"/>
            <w:tcBorders>
              <w:top w:val="nil"/>
              <w:left w:val="nil"/>
              <w:bottom w:val="nil"/>
              <w:right w:val="nil"/>
            </w:tcBorders>
            <w:shd w:val="clear" w:color="auto" w:fill="auto"/>
            <w:noWrap/>
            <w:vAlign w:val="center"/>
            <w:hideMark/>
          </w:tcPr>
          <w:p w14:paraId="5592A15C" w14:textId="26C2494E"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2.693 </w:t>
            </w:r>
          </w:p>
        </w:tc>
        <w:tc>
          <w:tcPr>
            <w:tcW w:w="500" w:type="pct"/>
            <w:tcBorders>
              <w:top w:val="nil"/>
              <w:left w:val="nil"/>
              <w:bottom w:val="nil"/>
              <w:right w:val="nil"/>
            </w:tcBorders>
            <w:shd w:val="clear" w:color="auto" w:fill="auto"/>
            <w:noWrap/>
            <w:vAlign w:val="center"/>
            <w:hideMark/>
          </w:tcPr>
          <w:p w14:paraId="75453CF5" w14:textId="6B1E17B6"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7C406A7A" w14:textId="68FC8F1C"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4E41C4AD" w14:textId="1830965D"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14</w:t>
            </w:r>
            <w:r w:rsidRPr="002C3397">
              <w:rPr>
                <w:rFonts w:ascii="Arial" w:eastAsia="等线" w:hAnsi="Arial" w:cs="Arial"/>
                <w:noProof/>
                <w:color w:val="000000"/>
                <w:kern w:val="0"/>
                <w:szCs w:val="21"/>
              </w:rPr>
              <w:t>]</w:t>
            </w:r>
          </w:p>
        </w:tc>
      </w:tr>
      <w:tr w:rsidR="00916F45" w:rsidRPr="002C3397" w14:paraId="3044B2C3"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788A1A7B" w14:textId="0FCB8666"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ENSMUSG00000028124</w:t>
            </w:r>
          </w:p>
        </w:tc>
        <w:tc>
          <w:tcPr>
            <w:tcW w:w="916" w:type="pct"/>
            <w:gridSpan w:val="2"/>
            <w:tcBorders>
              <w:top w:val="nil"/>
              <w:left w:val="nil"/>
              <w:bottom w:val="nil"/>
              <w:right w:val="nil"/>
            </w:tcBorders>
            <w:shd w:val="clear" w:color="auto" w:fill="auto"/>
            <w:noWrap/>
            <w:vAlign w:val="center"/>
            <w:hideMark/>
          </w:tcPr>
          <w:p w14:paraId="6526DA4A" w14:textId="400062F9"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Gclm</w:t>
            </w:r>
          </w:p>
        </w:tc>
        <w:tc>
          <w:tcPr>
            <w:tcW w:w="1169" w:type="pct"/>
            <w:tcBorders>
              <w:top w:val="nil"/>
              <w:left w:val="nil"/>
              <w:bottom w:val="nil"/>
              <w:right w:val="nil"/>
            </w:tcBorders>
            <w:shd w:val="clear" w:color="auto" w:fill="auto"/>
            <w:noWrap/>
            <w:vAlign w:val="center"/>
            <w:hideMark/>
          </w:tcPr>
          <w:p w14:paraId="1E914198" w14:textId="14E9ACA6"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2.144 </w:t>
            </w:r>
          </w:p>
        </w:tc>
        <w:tc>
          <w:tcPr>
            <w:tcW w:w="500" w:type="pct"/>
            <w:tcBorders>
              <w:top w:val="nil"/>
              <w:left w:val="nil"/>
              <w:bottom w:val="nil"/>
              <w:right w:val="nil"/>
            </w:tcBorders>
            <w:shd w:val="clear" w:color="auto" w:fill="auto"/>
            <w:noWrap/>
            <w:vAlign w:val="center"/>
            <w:hideMark/>
          </w:tcPr>
          <w:p w14:paraId="458E2F99" w14:textId="4DD54BD0"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7AC4D014" w14:textId="0CCBB3CD"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6B6F84C0" w14:textId="69ED2FDB"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15</w:t>
            </w:r>
            <w:r w:rsidRPr="002C3397">
              <w:rPr>
                <w:rFonts w:ascii="Arial" w:eastAsia="等线" w:hAnsi="Arial" w:cs="Arial"/>
                <w:noProof/>
                <w:color w:val="000000"/>
                <w:kern w:val="0"/>
                <w:szCs w:val="21"/>
              </w:rPr>
              <w:t>]</w:t>
            </w:r>
          </w:p>
        </w:tc>
      </w:tr>
      <w:tr w:rsidR="00916F45" w:rsidRPr="002C3397" w14:paraId="6829A1F5"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568AA3CD" w14:textId="67712BA3"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ENSMUSG00000027009</w:t>
            </w:r>
          </w:p>
        </w:tc>
        <w:tc>
          <w:tcPr>
            <w:tcW w:w="916" w:type="pct"/>
            <w:gridSpan w:val="2"/>
            <w:tcBorders>
              <w:top w:val="nil"/>
              <w:left w:val="nil"/>
              <w:bottom w:val="nil"/>
              <w:right w:val="nil"/>
            </w:tcBorders>
            <w:shd w:val="clear" w:color="auto" w:fill="auto"/>
            <w:noWrap/>
            <w:vAlign w:val="center"/>
            <w:hideMark/>
          </w:tcPr>
          <w:p w14:paraId="1FBADBD2" w14:textId="5DDF492A"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Itga4</w:t>
            </w:r>
          </w:p>
        </w:tc>
        <w:tc>
          <w:tcPr>
            <w:tcW w:w="1169" w:type="pct"/>
            <w:tcBorders>
              <w:top w:val="nil"/>
              <w:left w:val="nil"/>
              <w:bottom w:val="nil"/>
              <w:right w:val="nil"/>
            </w:tcBorders>
            <w:shd w:val="clear" w:color="auto" w:fill="auto"/>
            <w:noWrap/>
            <w:vAlign w:val="center"/>
            <w:hideMark/>
          </w:tcPr>
          <w:p w14:paraId="5E8FD3CA" w14:textId="4F5EB43B"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-2.867 </w:t>
            </w:r>
          </w:p>
        </w:tc>
        <w:tc>
          <w:tcPr>
            <w:tcW w:w="500" w:type="pct"/>
            <w:tcBorders>
              <w:top w:val="nil"/>
              <w:left w:val="nil"/>
              <w:bottom w:val="nil"/>
              <w:right w:val="nil"/>
            </w:tcBorders>
            <w:shd w:val="clear" w:color="auto" w:fill="auto"/>
            <w:noWrap/>
            <w:vAlign w:val="center"/>
            <w:hideMark/>
          </w:tcPr>
          <w:p w14:paraId="4EBCD7AE" w14:textId="362705F1"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3DAB0C3F" w14:textId="4EB57812"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6601A526" w14:textId="750FE830"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16</w:t>
            </w:r>
            <w:r w:rsidRPr="002C3397">
              <w:rPr>
                <w:rFonts w:ascii="Arial" w:eastAsia="等线" w:hAnsi="Arial" w:cs="Arial"/>
                <w:noProof/>
                <w:color w:val="000000"/>
                <w:kern w:val="0"/>
                <w:szCs w:val="21"/>
              </w:rPr>
              <w:t>]</w:t>
            </w:r>
          </w:p>
        </w:tc>
      </w:tr>
      <w:tr w:rsidR="00916F45" w:rsidRPr="002C3397" w14:paraId="7D65560C"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20371736" w14:textId="0AED4250"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ENSMUSG00000034422</w:t>
            </w:r>
          </w:p>
        </w:tc>
        <w:tc>
          <w:tcPr>
            <w:tcW w:w="916" w:type="pct"/>
            <w:gridSpan w:val="2"/>
            <w:tcBorders>
              <w:top w:val="nil"/>
              <w:left w:val="nil"/>
              <w:bottom w:val="nil"/>
              <w:right w:val="nil"/>
            </w:tcBorders>
            <w:shd w:val="clear" w:color="auto" w:fill="auto"/>
            <w:noWrap/>
            <w:vAlign w:val="center"/>
            <w:hideMark/>
          </w:tcPr>
          <w:p w14:paraId="7C8238F9" w14:textId="19D1BB15"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Parp14</w:t>
            </w:r>
          </w:p>
        </w:tc>
        <w:tc>
          <w:tcPr>
            <w:tcW w:w="1169" w:type="pct"/>
            <w:tcBorders>
              <w:top w:val="nil"/>
              <w:left w:val="nil"/>
              <w:bottom w:val="nil"/>
              <w:right w:val="nil"/>
            </w:tcBorders>
            <w:shd w:val="clear" w:color="auto" w:fill="auto"/>
            <w:noWrap/>
            <w:vAlign w:val="center"/>
            <w:hideMark/>
          </w:tcPr>
          <w:p w14:paraId="2AD097CD" w14:textId="6E13AAD6"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-5.062 </w:t>
            </w:r>
          </w:p>
        </w:tc>
        <w:tc>
          <w:tcPr>
            <w:tcW w:w="500" w:type="pct"/>
            <w:tcBorders>
              <w:top w:val="nil"/>
              <w:left w:val="nil"/>
              <w:bottom w:val="nil"/>
              <w:right w:val="nil"/>
            </w:tcBorders>
            <w:shd w:val="clear" w:color="auto" w:fill="auto"/>
            <w:noWrap/>
            <w:vAlign w:val="center"/>
            <w:hideMark/>
          </w:tcPr>
          <w:p w14:paraId="1F5C6A51" w14:textId="7239C5F8"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37676CE9" w14:textId="3ECD4AC5"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15C9E510" w14:textId="3EBB88AC"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17</w:t>
            </w:r>
            <w:r w:rsidRPr="002C3397">
              <w:rPr>
                <w:rFonts w:ascii="Arial" w:eastAsia="等线" w:hAnsi="Arial" w:cs="Arial"/>
                <w:noProof/>
                <w:color w:val="000000"/>
                <w:kern w:val="0"/>
                <w:szCs w:val="21"/>
              </w:rPr>
              <w:t>]</w:t>
            </w:r>
          </w:p>
        </w:tc>
      </w:tr>
      <w:tr w:rsidR="00916F45" w:rsidRPr="002C3397" w14:paraId="352F6B50"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33A31640" w14:textId="5635BDEE"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ENSMUSG00000032661</w:t>
            </w:r>
          </w:p>
        </w:tc>
        <w:tc>
          <w:tcPr>
            <w:tcW w:w="916" w:type="pct"/>
            <w:gridSpan w:val="2"/>
            <w:tcBorders>
              <w:top w:val="nil"/>
              <w:left w:val="nil"/>
              <w:bottom w:val="nil"/>
              <w:right w:val="nil"/>
            </w:tcBorders>
            <w:shd w:val="clear" w:color="auto" w:fill="auto"/>
            <w:noWrap/>
            <w:vAlign w:val="center"/>
            <w:hideMark/>
          </w:tcPr>
          <w:p w14:paraId="129973E3" w14:textId="0FE80AB1"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Oas3</w:t>
            </w:r>
          </w:p>
        </w:tc>
        <w:tc>
          <w:tcPr>
            <w:tcW w:w="1169" w:type="pct"/>
            <w:tcBorders>
              <w:top w:val="nil"/>
              <w:left w:val="nil"/>
              <w:bottom w:val="nil"/>
              <w:right w:val="nil"/>
            </w:tcBorders>
            <w:shd w:val="clear" w:color="auto" w:fill="auto"/>
            <w:noWrap/>
            <w:vAlign w:val="center"/>
            <w:hideMark/>
          </w:tcPr>
          <w:p w14:paraId="23FF8EC1" w14:textId="0BD165B8"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-5.934 </w:t>
            </w:r>
          </w:p>
        </w:tc>
        <w:tc>
          <w:tcPr>
            <w:tcW w:w="500" w:type="pct"/>
            <w:tcBorders>
              <w:top w:val="nil"/>
              <w:left w:val="nil"/>
              <w:bottom w:val="nil"/>
              <w:right w:val="nil"/>
            </w:tcBorders>
            <w:shd w:val="clear" w:color="auto" w:fill="auto"/>
            <w:noWrap/>
            <w:vAlign w:val="center"/>
            <w:hideMark/>
          </w:tcPr>
          <w:p w14:paraId="1E1439F0" w14:textId="30569116"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08FF6C08" w14:textId="613C8AAC"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49E01917" w14:textId="3B529188"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18</w:t>
            </w:r>
            <w:r w:rsidRPr="002C3397">
              <w:rPr>
                <w:rFonts w:ascii="Arial" w:eastAsia="等线" w:hAnsi="Arial" w:cs="Arial"/>
                <w:noProof/>
                <w:color w:val="000000"/>
                <w:kern w:val="0"/>
                <w:szCs w:val="21"/>
              </w:rPr>
              <w:t>]</w:t>
            </w:r>
          </w:p>
        </w:tc>
      </w:tr>
      <w:tr w:rsidR="00916F45" w:rsidRPr="002C3397" w14:paraId="0615C521"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77349B60" w14:textId="3445FC15"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ENSMUSG00000027763</w:t>
            </w:r>
          </w:p>
        </w:tc>
        <w:tc>
          <w:tcPr>
            <w:tcW w:w="916" w:type="pct"/>
            <w:gridSpan w:val="2"/>
            <w:tcBorders>
              <w:top w:val="nil"/>
              <w:left w:val="nil"/>
              <w:bottom w:val="nil"/>
              <w:right w:val="nil"/>
            </w:tcBorders>
            <w:shd w:val="clear" w:color="auto" w:fill="auto"/>
            <w:noWrap/>
            <w:vAlign w:val="center"/>
            <w:hideMark/>
          </w:tcPr>
          <w:p w14:paraId="38399E5F" w14:textId="0AF23ED2"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Mbnl1</w:t>
            </w:r>
          </w:p>
        </w:tc>
        <w:tc>
          <w:tcPr>
            <w:tcW w:w="1169" w:type="pct"/>
            <w:tcBorders>
              <w:top w:val="nil"/>
              <w:left w:val="nil"/>
              <w:bottom w:val="nil"/>
              <w:right w:val="nil"/>
            </w:tcBorders>
            <w:shd w:val="clear" w:color="auto" w:fill="auto"/>
            <w:noWrap/>
            <w:vAlign w:val="center"/>
            <w:hideMark/>
          </w:tcPr>
          <w:p w14:paraId="157D7CF4" w14:textId="398809C6"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-2.321 </w:t>
            </w:r>
          </w:p>
        </w:tc>
        <w:tc>
          <w:tcPr>
            <w:tcW w:w="500" w:type="pct"/>
            <w:tcBorders>
              <w:top w:val="nil"/>
              <w:left w:val="nil"/>
              <w:bottom w:val="nil"/>
              <w:right w:val="nil"/>
            </w:tcBorders>
            <w:shd w:val="clear" w:color="auto" w:fill="auto"/>
            <w:noWrap/>
            <w:vAlign w:val="center"/>
            <w:hideMark/>
          </w:tcPr>
          <w:p w14:paraId="0A2F5956" w14:textId="1A1101C7"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5582F0AA" w14:textId="0DE46C12"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1B577AFC" w14:textId="5F6100CD"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19</w:t>
            </w:r>
            <w:r w:rsidRPr="002C3397">
              <w:rPr>
                <w:rFonts w:ascii="Arial" w:eastAsia="等线" w:hAnsi="Arial" w:cs="Arial"/>
                <w:noProof/>
                <w:color w:val="000000"/>
                <w:kern w:val="0"/>
                <w:szCs w:val="21"/>
              </w:rPr>
              <w:t>]</w:t>
            </w:r>
          </w:p>
        </w:tc>
      </w:tr>
      <w:tr w:rsidR="00916F45" w:rsidRPr="002C3397" w14:paraId="4C9364F9"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0C384394" w14:textId="5718198F"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ENSMUSG00000004266</w:t>
            </w:r>
          </w:p>
        </w:tc>
        <w:tc>
          <w:tcPr>
            <w:tcW w:w="916" w:type="pct"/>
            <w:gridSpan w:val="2"/>
            <w:tcBorders>
              <w:top w:val="nil"/>
              <w:left w:val="nil"/>
              <w:bottom w:val="nil"/>
              <w:right w:val="nil"/>
            </w:tcBorders>
            <w:shd w:val="clear" w:color="auto" w:fill="auto"/>
            <w:noWrap/>
            <w:vAlign w:val="center"/>
            <w:hideMark/>
          </w:tcPr>
          <w:p w14:paraId="65854E45" w14:textId="605005A4"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Ptpn6</w:t>
            </w:r>
          </w:p>
        </w:tc>
        <w:tc>
          <w:tcPr>
            <w:tcW w:w="1169" w:type="pct"/>
            <w:tcBorders>
              <w:top w:val="nil"/>
              <w:left w:val="nil"/>
              <w:bottom w:val="nil"/>
              <w:right w:val="nil"/>
            </w:tcBorders>
            <w:shd w:val="clear" w:color="auto" w:fill="auto"/>
            <w:noWrap/>
            <w:vAlign w:val="center"/>
            <w:hideMark/>
          </w:tcPr>
          <w:p w14:paraId="46188E2C" w14:textId="7431977D"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-2.376 </w:t>
            </w:r>
          </w:p>
        </w:tc>
        <w:tc>
          <w:tcPr>
            <w:tcW w:w="500" w:type="pct"/>
            <w:tcBorders>
              <w:top w:val="nil"/>
              <w:left w:val="nil"/>
              <w:bottom w:val="nil"/>
              <w:right w:val="nil"/>
            </w:tcBorders>
            <w:shd w:val="clear" w:color="auto" w:fill="auto"/>
            <w:noWrap/>
            <w:vAlign w:val="center"/>
            <w:hideMark/>
          </w:tcPr>
          <w:p w14:paraId="37131769" w14:textId="28C9F9F6"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7275E06C" w14:textId="44340768"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2F2F81CD" w14:textId="58FB3EA7"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20</w:t>
            </w:r>
            <w:r w:rsidRPr="002C3397">
              <w:rPr>
                <w:rFonts w:ascii="Arial" w:eastAsia="等线" w:hAnsi="Arial" w:cs="Arial"/>
                <w:noProof/>
                <w:color w:val="000000"/>
                <w:kern w:val="0"/>
                <w:szCs w:val="21"/>
              </w:rPr>
              <w:t xml:space="preserve">, </w:t>
            </w:r>
            <w:r w:rsidR="00F05D34" w:rsidRPr="002C3397">
              <w:rPr>
                <w:rFonts w:ascii="Arial" w:eastAsia="等线" w:hAnsi="Arial" w:cs="Arial"/>
                <w:noProof/>
                <w:color w:val="000000"/>
                <w:kern w:val="0"/>
                <w:szCs w:val="21"/>
              </w:rPr>
              <w:t>21</w:t>
            </w:r>
            <w:r w:rsidRPr="002C3397">
              <w:rPr>
                <w:rFonts w:ascii="Arial" w:eastAsia="等线" w:hAnsi="Arial" w:cs="Arial"/>
                <w:noProof/>
                <w:color w:val="000000"/>
                <w:kern w:val="0"/>
                <w:szCs w:val="21"/>
              </w:rPr>
              <w:t>]</w:t>
            </w:r>
          </w:p>
        </w:tc>
      </w:tr>
      <w:tr w:rsidR="00916F45" w:rsidRPr="002C3397" w14:paraId="298D27CE"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4D957395" w14:textId="59BB712B"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ENSMUSG00000027639</w:t>
            </w:r>
          </w:p>
        </w:tc>
        <w:tc>
          <w:tcPr>
            <w:tcW w:w="916" w:type="pct"/>
            <w:gridSpan w:val="2"/>
            <w:tcBorders>
              <w:top w:val="nil"/>
              <w:left w:val="nil"/>
              <w:bottom w:val="nil"/>
              <w:right w:val="nil"/>
            </w:tcBorders>
            <w:shd w:val="clear" w:color="auto" w:fill="auto"/>
            <w:noWrap/>
            <w:vAlign w:val="center"/>
            <w:hideMark/>
          </w:tcPr>
          <w:p w14:paraId="797FEDC6" w14:textId="75F5005A"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Samhd1</w:t>
            </w:r>
          </w:p>
        </w:tc>
        <w:tc>
          <w:tcPr>
            <w:tcW w:w="1169" w:type="pct"/>
            <w:tcBorders>
              <w:top w:val="nil"/>
              <w:left w:val="nil"/>
              <w:bottom w:val="nil"/>
              <w:right w:val="nil"/>
            </w:tcBorders>
            <w:shd w:val="clear" w:color="auto" w:fill="auto"/>
            <w:noWrap/>
            <w:vAlign w:val="center"/>
            <w:hideMark/>
          </w:tcPr>
          <w:p w14:paraId="3BD1AC2E" w14:textId="6000BBD2"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-2.469 </w:t>
            </w:r>
          </w:p>
        </w:tc>
        <w:tc>
          <w:tcPr>
            <w:tcW w:w="500" w:type="pct"/>
            <w:tcBorders>
              <w:top w:val="nil"/>
              <w:left w:val="nil"/>
              <w:bottom w:val="nil"/>
              <w:right w:val="nil"/>
            </w:tcBorders>
            <w:shd w:val="clear" w:color="auto" w:fill="auto"/>
            <w:noWrap/>
            <w:vAlign w:val="center"/>
            <w:hideMark/>
          </w:tcPr>
          <w:p w14:paraId="75C7463C" w14:textId="00A861C1"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78DE70B7" w14:textId="5B7C29B5"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089725AE" w14:textId="0C14B57E"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22</w:t>
            </w:r>
            <w:r w:rsidRPr="002C3397">
              <w:rPr>
                <w:rFonts w:ascii="Arial" w:eastAsia="等线" w:hAnsi="Arial" w:cs="Arial"/>
                <w:noProof/>
                <w:color w:val="000000"/>
                <w:kern w:val="0"/>
                <w:szCs w:val="21"/>
              </w:rPr>
              <w:t>]</w:t>
            </w:r>
          </w:p>
        </w:tc>
      </w:tr>
      <w:tr w:rsidR="00916F45" w:rsidRPr="002C3397" w14:paraId="35B9DB25"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273CC807" w14:textId="7D54BF68"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ENSMUSG00000021670</w:t>
            </w:r>
          </w:p>
        </w:tc>
        <w:tc>
          <w:tcPr>
            <w:tcW w:w="916" w:type="pct"/>
            <w:gridSpan w:val="2"/>
            <w:tcBorders>
              <w:top w:val="nil"/>
              <w:left w:val="nil"/>
              <w:bottom w:val="nil"/>
              <w:right w:val="nil"/>
            </w:tcBorders>
            <w:shd w:val="clear" w:color="auto" w:fill="auto"/>
            <w:noWrap/>
            <w:vAlign w:val="center"/>
            <w:hideMark/>
          </w:tcPr>
          <w:p w14:paraId="61D2853D" w14:textId="28E713D6"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Hmgcr</w:t>
            </w:r>
          </w:p>
        </w:tc>
        <w:tc>
          <w:tcPr>
            <w:tcW w:w="1169" w:type="pct"/>
            <w:tcBorders>
              <w:top w:val="nil"/>
              <w:left w:val="nil"/>
              <w:bottom w:val="nil"/>
              <w:right w:val="nil"/>
            </w:tcBorders>
            <w:shd w:val="clear" w:color="auto" w:fill="auto"/>
            <w:noWrap/>
            <w:vAlign w:val="center"/>
            <w:hideMark/>
          </w:tcPr>
          <w:p w14:paraId="644E670D" w14:textId="041705FE"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-2.641 </w:t>
            </w:r>
          </w:p>
        </w:tc>
        <w:tc>
          <w:tcPr>
            <w:tcW w:w="500" w:type="pct"/>
            <w:tcBorders>
              <w:top w:val="nil"/>
              <w:left w:val="nil"/>
              <w:bottom w:val="nil"/>
              <w:right w:val="nil"/>
            </w:tcBorders>
            <w:shd w:val="clear" w:color="auto" w:fill="auto"/>
            <w:noWrap/>
            <w:vAlign w:val="center"/>
            <w:hideMark/>
          </w:tcPr>
          <w:p w14:paraId="2ED43B29" w14:textId="754D7B8C"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1EEE5AC7" w14:textId="14DAEA3A"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391D57B0" w14:textId="01E908A6"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23</w:t>
            </w:r>
            <w:r w:rsidRPr="002C3397">
              <w:rPr>
                <w:rFonts w:ascii="Arial" w:eastAsia="等线" w:hAnsi="Arial" w:cs="Arial"/>
                <w:noProof/>
                <w:color w:val="000000"/>
                <w:kern w:val="0"/>
                <w:szCs w:val="21"/>
              </w:rPr>
              <w:t>]</w:t>
            </w:r>
          </w:p>
        </w:tc>
      </w:tr>
      <w:tr w:rsidR="00916F45" w:rsidRPr="002C3397" w14:paraId="4CD8C565"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3618FCF9" w14:textId="373CCE2C"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ENSMUSG00000030142</w:t>
            </w:r>
          </w:p>
        </w:tc>
        <w:tc>
          <w:tcPr>
            <w:tcW w:w="916" w:type="pct"/>
            <w:gridSpan w:val="2"/>
            <w:tcBorders>
              <w:top w:val="nil"/>
              <w:left w:val="nil"/>
              <w:bottom w:val="nil"/>
              <w:right w:val="nil"/>
            </w:tcBorders>
            <w:shd w:val="clear" w:color="auto" w:fill="auto"/>
            <w:noWrap/>
            <w:vAlign w:val="center"/>
            <w:hideMark/>
          </w:tcPr>
          <w:p w14:paraId="77ADB0D3" w14:textId="49A811E2"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Clec4e</w:t>
            </w:r>
          </w:p>
        </w:tc>
        <w:tc>
          <w:tcPr>
            <w:tcW w:w="1169" w:type="pct"/>
            <w:tcBorders>
              <w:top w:val="nil"/>
              <w:left w:val="nil"/>
              <w:bottom w:val="nil"/>
              <w:right w:val="nil"/>
            </w:tcBorders>
            <w:shd w:val="clear" w:color="auto" w:fill="auto"/>
            <w:noWrap/>
            <w:vAlign w:val="center"/>
            <w:hideMark/>
          </w:tcPr>
          <w:p w14:paraId="5D657CB8" w14:textId="03AD5987"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2.664 </w:t>
            </w:r>
          </w:p>
        </w:tc>
        <w:tc>
          <w:tcPr>
            <w:tcW w:w="500" w:type="pct"/>
            <w:tcBorders>
              <w:top w:val="nil"/>
              <w:left w:val="nil"/>
              <w:bottom w:val="nil"/>
              <w:right w:val="nil"/>
            </w:tcBorders>
            <w:shd w:val="clear" w:color="auto" w:fill="auto"/>
            <w:noWrap/>
            <w:vAlign w:val="center"/>
            <w:hideMark/>
          </w:tcPr>
          <w:p w14:paraId="196E989B" w14:textId="1DD67B84"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42E12C27" w14:textId="57AE7E1A"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5367B6B3" w14:textId="44B30B45"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24</w:t>
            </w:r>
            <w:r w:rsidRPr="002C3397">
              <w:rPr>
                <w:rFonts w:ascii="Arial" w:eastAsia="等线" w:hAnsi="Arial" w:cs="Arial"/>
                <w:noProof/>
                <w:color w:val="000000"/>
                <w:kern w:val="0"/>
                <w:szCs w:val="21"/>
              </w:rPr>
              <w:t>]</w:t>
            </w:r>
          </w:p>
        </w:tc>
      </w:tr>
      <w:tr w:rsidR="00916F45" w:rsidRPr="002C3397" w14:paraId="2727546F"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3319A1C3" w14:textId="18AAFD69"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ENSMUSG00000045932</w:t>
            </w:r>
          </w:p>
        </w:tc>
        <w:tc>
          <w:tcPr>
            <w:tcW w:w="916" w:type="pct"/>
            <w:gridSpan w:val="2"/>
            <w:tcBorders>
              <w:top w:val="nil"/>
              <w:left w:val="nil"/>
              <w:bottom w:val="nil"/>
              <w:right w:val="nil"/>
            </w:tcBorders>
            <w:shd w:val="clear" w:color="auto" w:fill="auto"/>
            <w:noWrap/>
            <w:vAlign w:val="center"/>
            <w:hideMark/>
          </w:tcPr>
          <w:p w14:paraId="795F8928" w14:textId="0DB71E03"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Ifit2</w:t>
            </w:r>
          </w:p>
        </w:tc>
        <w:tc>
          <w:tcPr>
            <w:tcW w:w="1169" w:type="pct"/>
            <w:tcBorders>
              <w:top w:val="nil"/>
              <w:left w:val="nil"/>
              <w:bottom w:val="nil"/>
              <w:right w:val="nil"/>
            </w:tcBorders>
            <w:shd w:val="clear" w:color="auto" w:fill="auto"/>
            <w:noWrap/>
            <w:vAlign w:val="center"/>
            <w:hideMark/>
          </w:tcPr>
          <w:p w14:paraId="611DC322" w14:textId="39D32FD9"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-7.743 </w:t>
            </w:r>
          </w:p>
        </w:tc>
        <w:tc>
          <w:tcPr>
            <w:tcW w:w="500" w:type="pct"/>
            <w:tcBorders>
              <w:top w:val="nil"/>
              <w:left w:val="nil"/>
              <w:bottom w:val="nil"/>
              <w:right w:val="nil"/>
            </w:tcBorders>
            <w:shd w:val="clear" w:color="auto" w:fill="auto"/>
            <w:noWrap/>
            <w:vAlign w:val="center"/>
            <w:hideMark/>
          </w:tcPr>
          <w:p w14:paraId="4DD3D614" w14:textId="195A96AD"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52C8983A" w14:textId="6685AA69"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7484D68A" w14:textId="291DA172"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25</w:t>
            </w:r>
            <w:r w:rsidRPr="002C3397">
              <w:rPr>
                <w:rFonts w:ascii="Arial" w:eastAsia="等线" w:hAnsi="Arial" w:cs="Arial"/>
                <w:noProof/>
                <w:color w:val="000000"/>
                <w:kern w:val="0"/>
                <w:szCs w:val="21"/>
              </w:rPr>
              <w:t>]</w:t>
            </w:r>
          </w:p>
        </w:tc>
      </w:tr>
      <w:tr w:rsidR="00916F45" w:rsidRPr="002C3397" w14:paraId="2314FFDD"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2ADEFA2C" w14:textId="36F0672B"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lastRenderedPageBreak/>
              <w:t>ENSMUSG00000025498</w:t>
            </w:r>
          </w:p>
        </w:tc>
        <w:tc>
          <w:tcPr>
            <w:tcW w:w="916" w:type="pct"/>
            <w:gridSpan w:val="2"/>
            <w:tcBorders>
              <w:top w:val="nil"/>
              <w:left w:val="nil"/>
              <w:bottom w:val="nil"/>
              <w:right w:val="nil"/>
            </w:tcBorders>
            <w:shd w:val="clear" w:color="auto" w:fill="auto"/>
            <w:noWrap/>
            <w:vAlign w:val="center"/>
            <w:hideMark/>
          </w:tcPr>
          <w:p w14:paraId="47302747" w14:textId="4300C1B7"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Irf7</w:t>
            </w:r>
          </w:p>
        </w:tc>
        <w:tc>
          <w:tcPr>
            <w:tcW w:w="1169" w:type="pct"/>
            <w:tcBorders>
              <w:top w:val="nil"/>
              <w:left w:val="nil"/>
              <w:bottom w:val="nil"/>
              <w:right w:val="nil"/>
            </w:tcBorders>
            <w:shd w:val="clear" w:color="auto" w:fill="auto"/>
            <w:noWrap/>
            <w:vAlign w:val="center"/>
            <w:hideMark/>
          </w:tcPr>
          <w:p w14:paraId="1D5F989A" w14:textId="1D63C4C1"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-6.012 </w:t>
            </w:r>
          </w:p>
        </w:tc>
        <w:tc>
          <w:tcPr>
            <w:tcW w:w="500" w:type="pct"/>
            <w:tcBorders>
              <w:top w:val="nil"/>
              <w:left w:val="nil"/>
              <w:bottom w:val="nil"/>
              <w:right w:val="nil"/>
            </w:tcBorders>
            <w:shd w:val="clear" w:color="auto" w:fill="auto"/>
            <w:noWrap/>
            <w:vAlign w:val="center"/>
            <w:hideMark/>
          </w:tcPr>
          <w:p w14:paraId="776DFC32" w14:textId="215A71B2"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51710977" w14:textId="1A3FD401"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78850B72" w14:textId="18010F9A"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26</w:t>
            </w:r>
            <w:r w:rsidRPr="002C3397">
              <w:rPr>
                <w:rFonts w:ascii="Arial" w:eastAsia="等线" w:hAnsi="Arial" w:cs="Arial"/>
                <w:noProof/>
                <w:color w:val="000000"/>
                <w:kern w:val="0"/>
                <w:szCs w:val="21"/>
              </w:rPr>
              <w:t>]</w:t>
            </w:r>
          </w:p>
        </w:tc>
      </w:tr>
      <w:tr w:rsidR="00916F45" w:rsidRPr="002C3397" w14:paraId="247CB3B7"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77A8870A" w14:textId="40C03AFB"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ENSMUSG00000010663</w:t>
            </w:r>
          </w:p>
        </w:tc>
        <w:tc>
          <w:tcPr>
            <w:tcW w:w="916" w:type="pct"/>
            <w:gridSpan w:val="2"/>
            <w:tcBorders>
              <w:top w:val="nil"/>
              <w:left w:val="nil"/>
              <w:bottom w:val="nil"/>
              <w:right w:val="nil"/>
            </w:tcBorders>
            <w:shd w:val="clear" w:color="auto" w:fill="auto"/>
            <w:noWrap/>
            <w:vAlign w:val="center"/>
            <w:hideMark/>
          </w:tcPr>
          <w:p w14:paraId="17518EF6" w14:textId="03142E1D"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Fads1</w:t>
            </w:r>
          </w:p>
        </w:tc>
        <w:tc>
          <w:tcPr>
            <w:tcW w:w="1169" w:type="pct"/>
            <w:tcBorders>
              <w:top w:val="nil"/>
              <w:left w:val="nil"/>
              <w:bottom w:val="nil"/>
              <w:right w:val="nil"/>
            </w:tcBorders>
            <w:shd w:val="clear" w:color="auto" w:fill="auto"/>
            <w:noWrap/>
            <w:vAlign w:val="center"/>
            <w:hideMark/>
          </w:tcPr>
          <w:p w14:paraId="2EE61E74" w14:textId="19594FD6"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-2.104 </w:t>
            </w:r>
          </w:p>
        </w:tc>
        <w:tc>
          <w:tcPr>
            <w:tcW w:w="500" w:type="pct"/>
            <w:tcBorders>
              <w:top w:val="nil"/>
              <w:left w:val="nil"/>
              <w:bottom w:val="nil"/>
              <w:right w:val="nil"/>
            </w:tcBorders>
            <w:shd w:val="clear" w:color="auto" w:fill="auto"/>
            <w:noWrap/>
            <w:vAlign w:val="center"/>
            <w:hideMark/>
          </w:tcPr>
          <w:p w14:paraId="4D2B0CA0" w14:textId="6B727B30"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079030B8" w14:textId="16227489"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41A9A71C" w14:textId="3D3BBE24"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27</w:t>
            </w:r>
            <w:r w:rsidRPr="002C3397">
              <w:rPr>
                <w:rFonts w:ascii="Arial" w:eastAsia="等线" w:hAnsi="Arial" w:cs="Arial"/>
                <w:noProof/>
                <w:color w:val="000000"/>
                <w:kern w:val="0"/>
                <w:szCs w:val="21"/>
              </w:rPr>
              <w:t>]</w:t>
            </w:r>
          </w:p>
        </w:tc>
      </w:tr>
      <w:tr w:rsidR="00916F45" w:rsidRPr="002C3397" w14:paraId="6A73651C"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5F074573" w14:textId="4125EADC"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ENSMUSG00000026981</w:t>
            </w:r>
          </w:p>
        </w:tc>
        <w:tc>
          <w:tcPr>
            <w:tcW w:w="916" w:type="pct"/>
            <w:gridSpan w:val="2"/>
            <w:tcBorders>
              <w:top w:val="nil"/>
              <w:left w:val="nil"/>
              <w:bottom w:val="nil"/>
              <w:right w:val="nil"/>
            </w:tcBorders>
            <w:shd w:val="clear" w:color="auto" w:fill="auto"/>
            <w:noWrap/>
            <w:vAlign w:val="center"/>
            <w:hideMark/>
          </w:tcPr>
          <w:p w14:paraId="3500420B" w14:textId="049D7785"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Il1rn</w:t>
            </w:r>
          </w:p>
        </w:tc>
        <w:tc>
          <w:tcPr>
            <w:tcW w:w="1169" w:type="pct"/>
            <w:tcBorders>
              <w:top w:val="nil"/>
              <w:left w:val="nil"/>
              <w:bottom w:val="nil"/>
              <w:right w:val="nil"/>
            </w:tcBorders>
            <w:shd w:val="clear" w:color="auto" w:fill="auto"/>
            <w:noWrap/>
            <w:vAlign w:val="center"/>
            <w:hideMark/>
          </w:tcPr>
          <w:p w14:paraId="65F25DBC" w14:textId="79B0AF29"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2.817 </w:t>
            </w:r>
          </w:p>
        </w:tc>
        <w:tc>
          <w:tcPr>
            <w:tcW w:w="500" w:type="pct"/>
            <w:tcBorders>
              <w:top w:val="nil"/>
              <w:left w:val="nil"/>
              <w:bottom w:val="nil"/>
              <w:right w:val="nil"/>
            </w:tcBorders>
            <w:shd w:val="clear" w:color="auto" w:fill="auto"/>
            <w:noWrap/>
            <w:vAlign w:val="center"/>
            <w:hideMark/>
          </w:tcPr>
          <w:p w14:paraId="1E02E8EA" w14:textId="577ABCBA"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70AE16E5" w14:textId="14847EF3"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61B150BE" w14:textId="0E16EF48"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28</w:t>
            </w:r>
            <w:r w:rsidRPr="002C3397">
              <w:rPr>
                <w:rFonts w:ascii="Arial" w:eastAsia="等线" w:hAnsi="Arial" w:cs="Arial"/>
                <w:noProof/>
                <w:color w:val="000000"/>
                <w:kern w:val="0"/>
                <w:szCs w:val="21"/>
              </w:rPr>
              <w:t>]</w:t>
            </w:r>
          </w:p>
        </w:tc>
      </w:tr>
      <w:tr w:rsidR="00916F45" w:rsidRPr="002C3397" w14:paraId="503FC04D"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67FAC613" w14:textId="35E90E73"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ENSMUSG00000021306</w:t>
            </w:r>
          </w:p>
        </w:tc>
        <w:tc>
          <w:tcPr>
            <w:tcW w:w="916" w:type="pct"/>
            <w:gridSpan w:val="2"/>
            <w:tcBorders>
              <w:top w:val="nil"/>
              <w:left w:val="nil"/>
              <w:bottom w:val="nil"/>
              <w:right w:val="nil"/>
            </w:tcBorders>
            <w:shd w:val="clear" w:color="auto" w:fill="auto"/>
            <w:noWrap/>
            <w:vAlign w:val="center"/>
            <w:hideMark/>
          </w:tcPr>
          <w:p w14:paraId="1A8DBE1E" w14:textId="3FECD04E"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Gpr137b</w:t>
            </w:r>
          </w:p>
        </w:tc>
        <w:tc>
          <w:tcPr>
            <w:tcW w:w="1169" w:type="pct"/>
            <w:tcBorders>
              <w:top w:val="nil"/>
              <w:left w:val="nil"/>
              <w:bottom w:val="nil"/>
              <w:right w:val="nil"/>
            </w:tcBorders>
            <w:shd w:val="clear" w:color="auto" w:fill="auto"/>
            <w:noWrap/>
            <w:vAlign w:val="center"/>
            <w:hideMark/>
          </w:tcPr>
          <w:p w14:paraId="4AC33800" w14:textId="4EBF5918"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2.320 </w:t>
            </w:r>
          </w:p>
        </w:tc>
        <w:tc>
          <w:tcPr>
            <w:tcW w:w="500" w:type="pct"/>
            <w:tcBorders>
              <w:top w:val="nil"/>
              <w:left w:val="nil"/>
              <w:bottom w:val="nil"/>
              <w:right w:val="nil"/>
            </w:tcBorders>
            <w:shd w:val="clear" w:color="auto" w:fill="auto"/>
            <w:noWrap/>
            <w:vAlign w:val="center"/>
            <w:hideMark/>
          </w:tcPr>
          <w:p w14:paraId="3E482D32" w14:textId="644C6457"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71FA9ECB" w14:textId="0E1F956A"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36AAC476" w14:textId="4736E3AE"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29</w:t>
            </w:r>
            <w:r w:rsidRPr="002C3397">
              <w:rPr>
                <w:rFonts w:ascii="Arial" w:eastAsia="等线" w:hAnsi="Arial" w:cs="Arial"/>
                <w:noProof/>
                <w:color w:val="000000"/>
                <w:kern w:val="0"/>
                <w:szCs w:val="21"/>
              </w:rPr>
              <w:t>]</w:t>
            </w:r>
          </w:p>
        </w:tc>
      </w:tr>
      <w:tr w:rsidR="00916F45" w:rsidRPr="002C3397" w14:paraId="04DCAF4F"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38C13738" w14:textId="482614B3"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ENSMUSG00000070348</w:t>
            </w:r>
          </w:p>
        </w:tc>
        <w:tc>
          <w:tcPr>
            <w:tcW w:w="916" w:type="pct"/>
            <w:gridSpan w:val="2"/>
            <w:tcBorders>
              <w:top w:val="nil"/>
              <w:left w:val="nil"/>
              <w:bottom w:val="nil"/>
              <w:right w:val="nil"/>
            </w:tcBorders>
            <w:shd w:val="clear" w:color="auto" w:fill="auto"/>
            <w:noWrap/>
            <w:vAlign w:val="center"/>
            <w:hideMark/>
          </w:tcPr>
          <w:p w14:paraId="677032BD" w14:textId="08B85E1F"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Ccnd1</w:t>
            </w:r>
          </w:p>
        </w:tc>
        <w:tc>
          <w:tcPr>
            <w:tcW w:w="1169" w:type="pct"/>
            <w:tcBorders>
              <w:top w:val="nil"/>
              <w:left w:val="nil"/>
              <w:bottom w:val="nil"/>
              <w:right w:val="nil"/>
            </w:tcBorders>
            <w:shd w:val="clear" w:color="auto" w:fill="auto"/>
            <w:noWrap/>
            <w:vAlign w:val="center"/>
            <w:hideMark/>
          </w:tcPr>
          <w:p w14:paraId="56575CDE" w14:textId="1A497A5F"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-3.485 </w:t>
            </w:r>
          </w:p>
        </w:tc>
        <w:tc>
          <w:tcPr>
            <w:tcW w:w="500" w:type="pct"/>
            <w:tcBorders>
              <w:top w:val="nil"/>
              <w:left w:val="nil"/>
              <w:bottom w:val="nil"/>
              <w:right w:val="nil"/>
            </w:tcBorders>
            <w:shd w:val="clear" w:color="auto" w:fill="auto"/>
            <w:noWrap/>
            <w:vAlign w:val="center"/>
            <w:hideMark/>
          </w:tcPr>
          <w:p w14:paraId="7092932D" w14:textId="5DFE8426"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42252015" w14:textId="61E4AD94"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254C8D7D" w14:textId="081F6124"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30</w:t>
            </w:r>
            <w:r w:rsidRPr="002C3397">
              <w:rPr>
                <w:rFonts w:ascii="Arial" w:eastAsia="等线" w:hAnsi="Arial" w:cs="Arial"/>
                <w:noProof/>
                <w:color w:val="000000"/>
                <w:kern w:val="0"/>
                <w:szCs w:val="21"/>
              </w:rPr>
              <w:t>]</w:t>
            </w:r>
          </w:p>
        </w:tc>
      </w:tr>
      <w:tr w:rsidR="00916F45" w:rsidRPr="002C3397" w14:paraId="2B68DF6A"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213E1456" w14:textId="268B6471" w:rsidR="00916F45" w:rsidRPr="002C3397" w:rsidRDefault="00F121B9"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ENSMUSG00000002307</w:t>
            </w:r>
          </w:p>
        </w:tc>
        <w:tc>
          <w:tcPr>
            <w:tcW w:w="916" w:type="pct"/>
            <w:gridSpan w:val="2"/>
            <w:tcBorders>
              <w:top w:val="nil"/>
              <w:left w:val="nil"/>
              <w:bottom w:val="nil"/>
              <w:right w:val="nil"/>
            </w:tcBorders>
            <w:shd w:val="clear" w:color="auto" w:fill="auto"/>
            <w:noWrap/>
            <w:vAlign w:val="center"/>
            <w:hideMark/>
          </w:tcPr>
          <w:p w14:paraId="659EE847" w14:textId="180FEB8F" w:rsidR="00916F45" w:rsidRPr="002C3397" w:rsidRDefault="00F121B9"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Daxx</w:t>
            </w:r>
          </w:p>
        </w:tc>
        <w:tc>
          <w:tcPr>
            <w:tcW w:w="1169" w:type="pct"/>
            <w:tcBorders>
              <w:top w:val="nil"/>
              <w:left w:val="nil"/>
              <w:bottom w:val="nil"/>
              <w:right w:val="nil"/>
            </w:tcBorders>
            <w:shd w:val="clear" w:color="auto" w:fill="auto"/>
            <w:noWrap/>
            <w:vAlign w:val="center"/>
            <w:hideMark/>
          </w:tcPr>
          <w:p w14:paraId="1C41DF1C" w14:textId="1E1FB4FA" w:rsidR="00916F45" w:rsidRPr="002C3397" w:rsidRDefault="00F121B9"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-2.562C</w:t>
            </w:r>
          </w:p>
        </w:tc>
        <w:tc>
          <w:tcPr>
            <w:tcW w:w="500" w:type="pct"/>
            <w:tcBorders>
              <w:top w:val="nil"/>
              <w:left w:val="nil"/>
              <w:bottom w:val="nil"/>
              <w:right w:val="nil"/>
            </w:tcBorders>
            <w:shd w:val="clear" w:color="auto" w:fill="auto"/>
            <w:noWrap/>
            <w:vAlign w:val="center"/>
            <w:hideMark/>
          </w:tcPr>
          <w:p w14:paraId="2618FD8E" w14:textId="0C1CDB6B"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27C3F5E5" w14:textId="6E677FE3"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23BD2CB5" w14:textId="1F569580"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31</w:t>
            </w:r>
            <w:r w:rsidRPr="002C3397">
              <w:rPr>
                <w:rFonts w:ascii="Arial" w:eastAsia="等线" w:hAnsi="Arial" w:cs="Arial"/>
                <w:noProof/>
                <w:color w:val="000000"/>
                <w:kern w:val="0"/>
                <w:szCs w:val="21"/>
              </w:rPr>
              <w:t>]</w:t>
            </w:r>
          </w:p>
        </w:tc>
      </w:tr>
      <w:tr w:rsidR="00916F45" w:rsidRPr="002C3397" w14:paraId="2DD72102"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714FC02B" w14:textId="4F4E777D"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ENSMUSG00000032802</w:t>
            </w:r>
          </w:p>
        </w:tc>
        <w:tc>
          <w:tcPr>
            <w:tcW w:w="916" w:type="pct"/>
            <w:gridSpan w:val="2"/>
            <w:tcBorders>
              <w:top w:val="nil"/>
              <w:left w:val="nil"/>
              <w:bottom w:val="nil"/>
              <w:right w:val="nil"/>
            </w:tcBorders>
            <w:shd w:val="clear" w:color="auto" w:fill="auto"/>
            <w:noWrap/>
            <w:vAlign w:val="center"/>
            <w:hideMark/>
          </w:tcPr>
          <w:p w14:paraId="1B8C2995" w14:textId="247F7241"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Srxn1</w:t>
            </w:r>
          </w:p>
        </w:tc>
        <w:tc>
          <w:tcPr>
            <w:tcW w:w="1169" w:type="pct"/>
            <w:tcBorders>
              <w:top w:val="nil"/>
              <w:left w:val="nil"/>
              <w:bottom w:val="nil"/>
              <w:right w:val="nil"/>
            </w:tcBorders>
            <w:shd w:val="clear" w:color="auto" w:fill="auto"/>
            <w:noWrap/>
            <w:vAlign w:val="center"/>
            <w:hideMark/>
          </w:tcPr>
          <w:p w14:paraId="6B240B9F" w14:textId="1936F97B"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2.293 </w:t>
            </w:r>
          </w:p>
        </w:tc>
        <w:tc>
          <w:tcPr>
            <w:tcW w:w="500" w:type="pct"/>
            <w:tcBorders>
              <w:top w:val="nil"/>
              <w:left w:val="nil"/>
              <w:bottom w:val="nil"/>
              <w:right w:val="nil"/>
            </w:tcBorders>
            <w:shd w:val="clear" w:color="auto" w:fill="auto"/>
            <w:noWrap/>
            <w:vAlign w:val="center"/>
            <w:hideMark/>
          </w:tcPr>
          <w:p w14:paraId="60DED270" w14:textId="3E7DE548"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5F3C004E" w14:textId="51A8DA89"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1BE4A693" w14:textId="65013A86"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32</w:t>
            </w:r>
            <w:r w:rsidRPr="002C3397">
              <w:rPr>
                <w:rFonts w:ascii="Arial" w:eastAsia="等线" w:hAnsi="Arial" w:cs="Arial"/>
                <w:noProof/>
                <w:color w:val="000000"/>
                <w:kern w:val="0"/>
                <w:szCs w:val="21"/>
              </w:rPr>
              <w:t>]</w:t>
            </w:r>
          </w:p>
        </w:tc>
      </w:tr>
      <w:tr w:rsidR="00916F45" w:rsidRPr="002C3397" w14:paraId="5B88D82D"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311A07C5" w14:textId="56102646"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ENSMUSG00000052684</w:t>
            </w:r>
          </w:p>
        </w:tc>
        <w:tc>
          <w:tcPr>
            <w:tcW w:w="916" w:type="pct"/>
            <w:gridSpan w:val="2"/>
            <w:tcBorders>
              <w:top w:val="nil"/>
              <w:left w:val="nil"/>
              <w:bottom w:val="nil"/>
              <w:right w:val="nil"/>
            </w:tcBorders>
            <w:shd w:val="clear" w:color="auto" w:fill="auto"/>
            <w:noWrap/>
            <w:vAlign w:val="center"/>
            <w:hideMark/>
          </w:tcPr>
          <w:p w14:paraId="4EA8D354" w14:textId="466AA95F"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Jun</w:t>
            </w:r>
          </w:p>
        </w:tc>
        <w:tc>
          <w:tcPr>
            <w:tcW w:w="1169" w:type="pct"/>
            <w:tcBorders>
              <w:top w:val="nil"/>
              <w:left w:val="nil"/>
              <w:bottom w:val="nil"/>
              <w:right w:val="nil"/>
            </w:tcBorders>
            <w:shd w:val="clear" w:color="auto" w:fill="auto"/>
            <w:noWrap/>
            <w:vAlign w:val="center"/>
            <w:hideMark/>
          </w:tcPr>
          <w:p w14:paraId="3DC01149" w14:textId="17A509C9"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2.678 </w:t>
            </w:r>
          </w:p>
        </w:tc>
        <w:tc>
          <w:tcPr>
            <w:tcW w:w="500" w:type="pct"/>
            <w:tcBorders>
              <w:top w:val="nil"/>
              <w:left w:val="nil"/>
              <w:bottom w:val="nil"/>
              <w:right w:val="nil"/>
            </w:tcBorders>
            <w:shd w:val="clear" w:color="auto" w:fill="auto"/>
            <w:noWrap/>
            <w:vAlign w:val="center"/>
            <w:hideMark/>
          </w:tcPr>
          <w:p w14:paraId="0C63FA36" w14:textId="75CDE0E4"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7282912D" w14:textId="15672862"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160867F5" w14:textId="3C6BCEEC"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33</w:t>
            </w:r>
            <w:r w:rsidRPr="002C3397">
              <w:rPr>
                <w:rFonts w:ascii="Arial" w:eastAsia="等线" w:hAnsi="Arial" w:cs="Arial"/>
                <w:noProof/>
                <w:color w:val="000000"/>
                <w:kern w:val="0"/>
                <w:szCs w:val="21"/>
              </w:rPr>
              <w:t>]</w:t>
            </w:r>
          </w:p>
        </w:tc>
      </w:tr>
      <w:tr w:rsidR="00916F45" w:rsidRPr="002C3397" w14:paraId="14BEF6BB"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2BDA1CB4" w14:textId="572382EE"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ENSMUSG00000024665</w:t>
            </w:r>
          </w:p>
        </w:tc>
        <w:tc>
          <w:tcPr>
            <w:tcW w:w="916" w:type="pct"/>
            <w:gridSpan w:val="2"/>
            <w:tcBorders>
              <w:top w:val="nil"/>
              <w:left w:val="nil"/>
              <w:bottom w:val="nil"/>
              <w:right w:val="nil"/>
            </w:tcBorders>
            <w:shd w:val="clear" w:color="auto" w:fill="auto"/>
            <w:noWrap/>
            <w:vAlign w:val="center"/>
            <w:hideMark/>
          </w:tcPr>
          <w:p w14:paraId="698BDD82" w14:textId="52A6798D"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Fads2</w:t>
            </w:r>
          </w:p>
        </w:tc>
        <w:tc>
          <w:tcPr>
            <w:tcW w:w="1169" w:type="pct"/>
            <w:tcBorders>
              <w:top w:val="nil"/>
              <w:left w:val="nil"/>
              <w:bottom w:val="nil"/>
              <w:right w:val="nil"/>
            </w:tcBorders>
            <w:shd w:val="clear" w:color="auto" w:fill="auto"/>
            <w:noWrap/>
            <w:vAlign w:val="center"/>
            <w:hideMark/>
          </w:tcPr>
          <w:p w14:paraId="35BDC64E" w14:textId="18A739F7"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-3.542 </w:t>
            </w:r>
          </w:p>
        </w:tc>
        <w:tc>
          <w:tcPr>
            <w:tcW w:w="500" w:type="pct"/>
            <w:tcBorders>
              <w:top w:val="nil"/>
              <w:left w:val="nil"/>
              <w:bottom w:val="nil"/>
              <w:right w:val="nil"/>
            </w:tcBorders>
            <w:shd w:val="clear" w:color="auto" w:fill="auto"/>
            <w:noWrap/>
            <w:vAlign w:val="center"/>
            <w:hideMark/>
          </w:tcPr>
          <w:p w14:paraId="4C6D5E66" w14:textId="35B1B34A"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1ACB5483" w14:textId="633EF2E2"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0575D6D2" w14:textId="0BEDE7A8"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34</w:t>
            </w:r>
            <w:r w:rsidRPr="002C3397">
              <w:rPr>
                <w:rFonts w:ascii="Arial" w:eastAsia="等线" w:hAnsi="Arial" w:cs="Arial"/>
                <w:noProof/>
                <w:color w:val="000000"/>
                <w:kern w:val="0"/>
                <w:szCs w:val="21"/>
              </w:rPr>
              <w:t>]</w:t>
            </w:r>
          </w:p>
        </w:tc>
      </w:tr>
      <w:tr w:rsidR="00916F45" w:rsidRPr="002C3397" w14:paraId="612334B3"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7D0C1F80" w14:textId="5F915364"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ENSMUSG00000032193</w:t>
            </w:r>
          </w:p>
        </w:tc>
        <w:tc>
          <w:tcPr>
            <w:tcW w:w="916" w:type="pct"/>
            <w:gridSpan w:val="2"/>
            <w:tcBorders>
              <w:top w:val="nil"/>
              <w:left w:val="nil"/>
              <w:bottom w:val="nil"/>
              <w:right w:val="nil"/>
            </w:tcBorders>
            <w:shd w:val="clear" w:color="auto" w:fill="auto"/>
            <w:noWrap/>
            <w:vAlign w:val="center"/>
            <w:hideMark/>
          </w:tcPr>
          <w:p w14:paraId="55215AD9" w14:textId="586BDFB4"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Ldlr</w:t>
            </w:r>
          </w:p>
        </w:tc>
        <w:tc>
          <w:tcPr>
            <w:tcW w:w="1169" w:type="pct"/>
            <w:tcBorders>
              <w:top w:val="nil"/>
              <w:left w:val="nil"/>
              <w:bottom w:val="nil"/>
              <w:right w:val="nil"/>
            </w:tcBorders>
            <w:shd w:val="clear" w:color="auto" w:fill="auto"/>
            <w:noWrap/>
            <w:vAlign w:val="center"/>
            <w:hideMark/>
          </w:tcPr>
          <w:p w14:paraId="7BA71FA7" w14:textId="520C546D"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-5.955 </w:t>
            </w:r>
          </w:p>
        </w:tc>
        <w:tc>
          <w:tcPr>
            <w:tcW w:w="500" w:type="pct"/>
            <w:tcBorders>
              <w:top w:val="nil"/>
              <w:left w:val="nil"/>
              <w:bottom w:val="nil"/>
              <w:right w:val="nil"/>
            </w:tcBorders>
            <w:shd w:val="clear" w:color="auto" w:fill="auto"/>
            <w:noWrap/>
            <w:vAlign w:val="center"/>
            <w:hideMark/>
          </w:tcPr>
          <w:p w14:paraId="55764E4A" w14:textId="7BB13DDD"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36A65A34" w14:textId="4F07B243"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26DF5742" w14:textId="3201C8AD"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35</w:t>
            </w:r>
            <w:r w:rsidRPr="002C3397">
              <w:rPr>
                <w:rFonts w:ascii="Arial" w:eastAsia="等线" w:hAnsi="Arial" w:cs="Arial"/>
                <w:noProof/>
                <w:color w:val="000000"/>
                <w:kern w:val="0"/>
                <w:szCs w:val="21"/>
              </w:rPr>
              <w:t>]</w:t>
            </w:r>
          </w:p>
        </w:tc>
      </w:tr>
      <w:tr w:rsidR="00916F45" w:rsidRPr="002C3397" w14:paraId="4ED40105"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1EA999EF" w14:textId="6294622A"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ENSMUSG00000028037</w:t>
            </w:r>
          </w:p>
        </w:tc>
        <w:tc>
          <w:tcPr>
            <w:tcW w:w="916" w:type="pct"/>
            <w:gridSpan w:val="2"/>
            <w:tcBorders>
              <w:top w:val="nil"/>
              <w:left w:val="nil"/>
              <w:bottom w:val="nil"/>
              <w:right w:val="nil"/>
            </w:tcBorders>
            <w:shd w:val="clear" w:color="auto" w:fill="auto"/>
            <w:noWrap/>
            <w:vAlign w:val="center"/>
            <w:hideMark/>
          </w:tcPr>
          <w:p w14:paraId="6B8336AB" w14:textId="5C439263"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Ifi44</w:t>
            </w:r>
          </w:p>
        </w:tc>
        <w:tc>
          <w:tcPr>
            <w:tcW w:w="1169" w:type="pct"/>
            <w:tcBorders>
              <w:top w:val="nil"/>
              <w:left w:val="nil"/>
              <w:bottom w:val="nil"/>
              <w:right w:val="nil"/>
            </w:tcBorders>
            <w:shd w:val="clear" w:color="auto" w:fill="auto"/>
            <w:noWrap/>
            <w:vAlign w:val="center"/>
            <w:hideMark/>
          </w:tcPr>
          <w:p w14:paraId="23D53DF3" w14:textId="539E5367"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-6.939 </w:t>
            </w:r>
          </w:p>
        </w:tc>
        <w:tc>
          <w:tcPr>
            <w:tcW w:w="500" w:type="pct"/>
            <w:tcBorders>
              <w:top w:val="nil"/>
              <w:left w:val="nil"/>
              <w:bottom w:val="nil"/>
              <w:right w:val="nil"/>
            </w:tcBorders>
            <w:shd w:val="clear" w:color="auto" w:fill="auto"/>
            <w:noWrap/>
            <w:vAlign w:val="center"/>
            <w:hideMark/>
          </w:tcPr>
          <w:p w14:paraId="46B6689F" w14:textId="1E7EA903"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5ED87154" w14:textId="7242D79D"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30808DFD" w14:textId="02FCC5EE"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36</w:t>
            </w:r>
            <w:r w:rsidRPr="002C3397">
              <w:rPr>
                <w:rFonts w:ascii="Arial" w:eastAsia="等线" w:hAnsi="Arial" w:cs="Arial"/>
                <w:noProof/>
                <w:color w:val="000000"/>
                <w:kern w:val="0"/>
                <w:szCs w:val="21"/>
              </w:rPr>
              <w:t>]</w:t>
            </w:r>
          </w:p>
        </w:tc>
      </w:tr>
      <w:tr w:rsidR="00916F45" w:rsidRPr="002C3397" w14:paraId="12D0A9C7"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3637FC0D" w14:textId="5BBD4E5B"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ENSMUSG00000028494</w:t>
            </w:r>
          </w:p>
        </w:tc>
        <w:tc>
          <w:tcPr>
            <w:tcW w:w="916" w:type="pct"/>
            <w:gridSpan w:val="2"/>
            <w:tcBorders>
              <w:top w:val="nil"/>
              <w:left w:val="nil"/>
              <w:bottom w:val="nil"/>
              <w:right w:val="nil"/>
            </w:tcBorders>
            <w:shd w:val="clear" w:color="auto" w:fill="auto"/>
            <w:noWrap/>
            <w:vAlign w:val="center"/>
            <w:hideMark/>
          </w:tcPr>
          <w:p w14:paraId="1CCD5365" w14:textId="5DBF3B1D"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Plin2</w:t>
            </w:r>
          </w:p>
        </w:tc>
        <w:tc>
          <w:tcPr>
            <w:tcW w:w="1169" w:type="pct"/>
            <w:tcBorders>
              <w:top w:val="nil"/>
              <w:left w:val="nil"/>
              <w:bottom w:val="nil"/>
              <w:right w:val="nil"/>
            </w:tcBorders>
            <w:shd w:val="clear" w:color="auto" w:fill="auto"/>
            <w:noWrap/>
            <w:vAlign w:val="center"/>
            <w:hideMark/>
          </w:tcPr>
          <w:p w14:paraId="0C0506E9" w14:textId="4F96EDB9"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2.060 </w:t>
            </w:r>
          </w:p>
        </w:tc>
        <w:tc>
          <w:tcPr>
            <w:tcW w:w="500" w:type="pct"/>
            <w:tcBorders>
              <w:top w:val="nil"/>
              <w:left w:val="nil"/>
              <w:bottom w:val="nil"/>
              <w:right w:val="nil"/>
            </w:tcBorders>
            <w:shd w:val="clear" w:color="auto" w:fill="auto"/>
            <w:noWrap/>
            <w:vAlign w:val="center"/>
            <w:hideMark/>
          </w:tcPr>
          <w:p w14:paraId="37E6DB7B" w14:textId="3D6D2AA4"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2E7ED86C" w14:textId="2FCC1FD6"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53417FCC" w14:textId="44C4C086"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37</w:t>
            </w:r>
            <w:r w:rsidRPr="002C3397">
              <w:rPr>
                <w:rFonts w:ascii="Arial" w:eastAsia="等线" w:hAnsi="Arial" w:cs="Arial"/>
                <w:noProof/>
                <w:color w:val="000000"/>
                <w:kern w:val="0"/>
                <w:szCs w:val="21"/>
              </w:rPr>
              <w:t>]</w:t>
            </w:r>
          </w:p>
        </w:tc>
      </w:tr>
      <w:tr w:rsidR="00916F45" w:rsidRPr="002C3397" w14:paraId="0BDB20B4"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6A0DE3A6" w14:textId="7E33762E"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ENSMUSG00000015340</w:t>
            </w:r>
          </w:p>
        </w:tc>
        <w:tc>
          <w:tcPr>
            <w:tcW w:w="916" w:type="pct"/>
            <w:gridSpan w:val="2"/>
            <w:tcBorders>
              <w:top w:val="nil"/>
              <w:left w:val="nil"/>
              <w:bottom w:val="nil"/>
              <w:right w:val="nil"/>
            </w:tcBorders>
            <w:shd w:val="clear" w:color="auto" w:fill="auto"/>
            <w:noWrap/>
            <w:vAlign w:val="center"/>
            <w:hideMark/>
          </w:tcPr>
          <w:p w14:paraId="31E34586" w14:textId="0337A33A"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Cybb</w:t>
            </w:r>
          </w:p>
        </w:tc>
        <w:tc>
          <w:tcPr>
            <w:tcW w:w="1169" w:type="pct"/>
            <w:tcBorders>
              <w:top w:val="nil"/>
              <w:left w:val="nil"/>
              <w:bottom w:val="nil"/>
              <w:right w:val="nil"/>
            </w:tcBorders>
            <w:shd w:val="clear" w:color="auto" w:fill="auto"/>
            <w:noWrap/>
            <w:vAlign w:val="center"/>
            <w:hideMark/>
          </w:tcPr>
          <w:p w14:paraId="76EF06EF" w14:textId="532199ED"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-2.465 </w:t>
            </w:r>
          </w:p>
        </w:tc>
        <w:tc>
          <w:tcPr>
            <w:tcW w:w="500" w:type="pct"/>
            <w:tcBorders>
              <w:top w:val="nil"/>
              <w:left w:val="nil"/>
              <w:bottom w:val="nil"/>
              <w:right w:val="nil"/>
            </w:tcBorders>
            <w:shd w:val="clear" w:color="auto" w:fill="auto"/>
            <w:noWrap/>
            <w:vAlign w:val="center"/>
            <w:hideMark/>
          </w:tcPr>
          <w:p w14:paraId="4AE9F62F" w14:textId="62EF21F8"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0C96508E" w14:textId="41E8971E"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7D9D0524" w14:textId="583B3844"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38</w:t>
            </w:r>
            <w:r w:rsidRPr="002C3397">
              <w:rPr>
                <w:rFonts w:ascii="Arial" w:eastAsia="等线" w:hAnsi="Arial" w:cs="Arial"/>
                <w:noProof/>
                <w:color w:val="000000"/>
                <w:kern w:val="0"/>
                <w:szCs w:val="21"/>
              </w:rPr>
              <w:t>]</w:t>
            </w:r>
          </w:p>
        </w:tc>
      </w:tr>
      <w:tr w:rsidR="00916F45" w:rsidRPr="002C3397" w14:paraId="3B5FBE5A"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70825F25" w14:textId="20F38A1D"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ENSMUSG00000046879</w:t>
            </w:r>
          </w:p>
        </w:tc>
        <w:tc>
          <w:tcPr>
            <w:tcW w:w="916" w:type="pct"/>
            <w:gridSpan w:val="2"/>
            <w:tcBorders>
              <w:top w:val="nil"/>
              <w:left w:val="nil"/>
              <w:bottom w:val="nil"/>
              <w:right w:val="nil"/>
            </w:tcBorders>
            <w:shd w:val="clear" w:color="auto" w:fill="auto"/>
            <w:noWrap/>
            <w:vAlign w:val="center"/>
            <w:hideMark/>
          </w:tcPr>
          <w:p w14:paraId="548912C4" w14:textId="1D505609"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Irgm1</w:t>
            </w:r>
          </w:p>
        </w:tc>
        <w:tc>
          <w:tcPr>
            <w:tcW w:w="1169" w:type="pct"/>
            <w:tcBorders>
              <w:top w:val="nil"/>
              <w:left w:val="nil"/>
              <w:bottom w:val="nil"/>
              <w:right w:val="nil"/>
            </w:tcBorders>
            <w:shd w:val="clear" w:color="auto" w:fill="auto"/>
            <w:noWrap/>
            <w:vAlign w:val="center"/>
            <w:hideMark/>
          </w:tcPr>
          <w:p w14:paraId="29A1BAA7" w14:textId="05607340"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-4.777 </w:t>
            </w:r>
          </w:p>
        </w:tc>
        <w:tc>
          <w:tcPr>
            <w:tcW w:w="500" w:type="pct"/>
            <w:tcBorders>
              <w:top w:val="nil"/>
              <w:left w:val="nil"/>
              <w:bottom w:val="nil"/>
              <w:right w:val="nil"/>
            </w:tcBorders>
            <w:shd w:val="clear" w:color="auto" w:fill="auto"/>
            <w:noWrap/>
            <w:vAlign w:val="center"/>
            <w:hideMark/>
          </w:tcPr>
          <w:p w14:paraId="3C825D27" w14:textId="795AFB35"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703C7BC1" w14:textId="4688B6E3"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5B648C1B" w14:textId="6C6C760A"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39</w:t>
            </w:r>
            <w:r w:rsidRPr="002C3397">
              <w:rPr>
                <w:rFonts w:ascii="Arial" w:eastAsia="等线" w:hAnsi="Arial" w:cs="Arial"/>
                <w:noProof/>
                <w:color w:val="000000"/>
                <w:kern w:val="0"/>
                <w:szCs w:val="21"/>
              </w:rPr>
              <w:t>]</w:t>
            </w:r>
          </w:p>
        </w:tc>
      </w:tr>
      <w:tr w:rsidR="00916F45" w:rsidRPr="002C3397" w14:paraId="47DB917B"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631654AA" w14:textId="0BF2D50D"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ENSMUSG00000033105</w:t>
            </w:r>
          </w:p>
        </w:tc>
        <w:tc>
          <w:tcPr>
            <w:tcW w:w="916" w:type="pct"/>
            <w:gridSpan w:val="2"/>
            <w:tcBorders>
              <w:top w:val="nil"/>
              <w:left w:val="nil"/>
              <w:bottom w:val="nil"/>
              <w:right w:val="nil"/>
            </w:tcBorders>
            <w:shd w:val="clear" w:color="auto" w:fill="auto"/>
            <w:noWrap/>
            <w:vAlign w:val="center"/>
            <w:hideMark/>
          </w:tcPr>
          <w:p w14:paraId="6ABAF305" w14:textId="316D9042"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Lss</w:t>
            </w:r>
          </w:p>
        </w:tc>
        <w:tc>
          <w:tcPr>
            <w:tcW w:w="1169" w:type="pct"/>
            <w:tcBorders>
              <w:top w:val="nil"/>
              <w:left w:val="nil"/>
              <w:bottom w:val="nil"/>
              <w:right w:val="nil"/>
            </w:tcBorders>
            <w:shd w:val="clear" w:color="auto" w:fill="auto"/>
            <w:noWrap/>
            <w:vAlign w:val="center"/>
            <w:hideMark/>
          </w:tcPr>
          <w:p w14:paraId="2109EAEC" w14:textId="745A2207"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-2.437 </w:t>
            </w:r>
          </w:p>
        </w:tc>
        <w:tc>
          <w:tcPr>
            <w:tcW w:w="500" w:type="pct"/>
            <w:tcBorders>
              <w:top w:val="nil"/>
              <w:left w:val="nil"/>
              <w:bottom w:val="nil"/>
              <w:right w:val="nil"/>
            </w:tcBorders>
            <w:shd w:val="clear" w:color="auto" w:fill="auto"/>
            <w:noWrap/>
            <w:vAlign w:val="center"/>
            <w:hideMark/>
          </w:tcPr>
          <w:p w14:paraId="14862CFD" w14:textId="460AA03E"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7A78A3CC" w14:textId="700FAB4F"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0130CAAA" w14:textId="3943B5ED"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40</w:t>
            </w:r>
            <w:r w:rsidRPr="002C3397">
              <w:rPr>
                <w:rFonts w:ascii="Arial" w:eastAsia="等线" w:hAnsi="Arial" w:cs="Arial"/>
                <w:noProof/>
                <w:color w:val="000000"/>
                <w:kern w:val="0"/>
                <w:szCs w:val="21"/>
              </w:rPr>
              <w:t>]</w:t>
            </w:r>
          </w:p>
        </w:tc>
      </w:tr>
      <w:tr w:rsidR="00916F45" w:rsidRPr="002C3397" w14:paraId="4B1D9194"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4D68FE97" w14:textId="46574726"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ENSMUSG00000032690</w:t>
            </w:r>
          </w:p>
        </w:tc>
        <w:tc>
          <w:tcPr>
            <w:tcW w:w="916" w:type="pct"/>
            <w:gridSpan w:val="2"/>
            <w:tcBorders>
              <w:top w:val="nil"/>
              <w:left w:val="nil"/>
              <w:bottom w:val="nil"/>
              <w:right w:val="nil"/>
            </w:tcBorders>
            <w:shd w:val="clear" w:color="auto" w:fill="auto"/>
            <w:noWrap/>
            <w:vAlign w:val="center"/>
            <w:hideMark/>
          </w:tcPr>
          <w:p w14:paraId="4FFBC32B" w14:textId="554D5FEA"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Oas2</w:t>
            </w:r>
          </w:p>
        </w:tc>
        <w:tc>
          <w:tcPr>
            <w:tcW w:w="1169" w:type="pct"/>
            <w:tcBorders>
              <w:top w:val="nil"/>
              <w:left w:val="nil"/>
              <w:bottom w:val="nil"/>
              <w:right w:val="nil"/>
            </w:tcBorders>
            <w:shd w:val="clear" w:color="auto" w:fill="auto"/>
            <w:noWrap/>
            <w:vAlign w:val="center"/>
            <w:hideMark/>
          </w:tcPr>
          <w:p w14:paraId="087B1A12" w14:textId="11CF5409"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-5.713 </w:t>
            </w:r>
          </w:p>
        </w:tc>
        <w:tc>
          <w:tcPr>
            <w:tcW w:w="500" w:type="pct"/>
            <w:tcBorders>
              <w:top w:val="nil"/>
              <w:left w:val="nil"/>
              <w:bottom w:val="nil"/>
              <w:right w:val="nil"/>
            </w:tcBorders>
            <w:shd w:val="clear" w:color="auto" w:fill="auto"/>
            <w:noWrap/>
            <w:vAlign w:val="center"/>
            <w:hideMark/>
          </w:tcPr>
          <w:p w14:paraId="75A3E905" w14:textId="3C65F1BE"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2C2F65C5" w14:textId="1870DD2D"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31600145" w14:textId="737AD1E5"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18</w:t>
            </w:r>
            <w:r w:rsidRPr="002C3397">
              <w:rPr>
                <w:rFonts w:ascii="Arial" w:eastAsia="等线" w:hAnsi="Arial" w:cs="Arial"/>
                <w:noProof/>
                <w:color w:val="000000"/>
                <w:kern w:val="0"/>
                <w:szCs w:val="21"/>
              </w:rPr>
              <w:t>]</w:t>
            </w:r>
          </w:p>
        </w:tc>
      </w:tr>
      <w:tr w:rsidR="00916F45" w:rsidRPr="002C3397" w14:paraId="1C2782AC"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4866A89E" w14:textId="3D8382E6"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ENSMUSG00000001467</w:t>
            </w:r>
          </w:p>
        </w:tc>
        <w:tc>
          <w:tcPr>
            <w:tcW w:w="916" w:type="pct"/>
            <w:gridSpan w:val="2"/>
            <w:tcBorders>
              <w:top w:val="nil"/>
              <w:left w:val="nil"/>
              <w:bottom w:val="nil"/>
              <w:right w:val="nil"/>
            </w:tcBorders>
            <w:shd w:val="clear" w:color="auto" w:fill="auto"/>
            <w:noWrap/>
            <w:vAlign w:val="center"/>
            <w:hideMark/>
          </w:tcPr>
          <w:p w14:paraId="255F84AD" w14:textId="61E3DAFE"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Cyp51</w:t>
            </w:r>
          </w:p>
        </w:tc>
        <w:tc>
          <w:tcPr>
            <w:tcW w:w="1169" w:type="pct"/>
            <w:tcBorders>
              <w:top w:val="nil"/>
              <w:left w:val="nil"/>
              <w:bottom w:val="nil"/>
              <w:right w:val="nil"/>
            </w:tcBorders>
            <w:shd w:val="clear" w:color="auto" w:fill="auto"/>
            <w:noWrap/>
            <w:vAlign w:val="center"/>
            <w:hideMark/>
          </w:tcPr>
          <w:p w14:paraId="5C719B11" w14:textId="4707407B"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-3.720 </w:t>
            </w:r>
          </w:p>
        </w:tc>
        <w:tc>
          <w:tcPr>
            <w:tcW w:w="500" w:type="pct"/>
            <w:tcBorders>
              <w:top w:val="nil"/>
              <w:left w:val="nil"/>
              <w:bottom w:val="nil"/>
              <w:right w:val="nil"/>
            </w:tcBorders>
            <w:shd w:val="clear" w:color="auto" w:fill="auto"/>
            <w:noWrap/>
            <w:vAlign w:val="center"/>
            <w:hideMark/>
          </w:tcPr>
          <w:p w14:paraId="0D56BA30" w14:textId="78CED1F8"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53318333" w14:textId="683C905B"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2D832B79" w14:textId="02366BBE"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41</w:t>
            </w:r>
            <w:r w:rsidRPr="002C3397">
              <w:rPr>
                <w:rFonts w:ascii="Arial" w:eastAsia="等线" w:hAnsi="Arial" w:cs="Arial"/>
                <w:noProof/>
                <w:color w:val="000000"/>
                <w:kern w:val="0"/>
                <w:szCs w:val="21"/>
              </w:rPr>
              <w:t>]</w:t>
            </w:r>
          </w:p>
        </w:tc>
      </w:tr>
      <w:tr w:rsidR="00916F45" w:rsidRPr="002C3397" w14:paraId="10D5F362"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32CCBF6D" w14:textId="610D79F9"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ENSMUSG00000022351</w:t>
            </w:r>
          </w:p>
        </w:tc>
        <w:tc>
          <w:tcPr>
            <w:tcW w:w="916" w:type="pct"/>
            <w:gridSpan w:val="2"/>
            <w:tcBorders>
              <w:top w:val="nil"/>
              <w:left w:val="nil"/>
              <w:bottom w:val="nil"/>
              <w:right w:val="nil"/>
            </w:tcBorders>
            <w:shd w:val="clear" w:color="auto" w:fill="auto"/>
            <w:noWrap/>
            <w:vAlign w:val="center"/>
            <w:hideMark/>
          </w:tcPr>
          <w:p w14:paraId="73D88240" w14:textId="5F2B0D9A"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Sqle</w:t>
            </w:r>
          </w:p>
        </w:tc>
        <w:tc>
          <w:tcPr>
            <w:tcW w:w="1169" w:type="pct"/>
            <w:tcBorders>
              <w:top w:val="nil"/>
              <w:left w:val="nil"/>
              <w:bottom w:val="nil"/>
              <w:right w:val="nil"/>
            </w:tcBorders>
            <w:shd w:val="clear" w:color="auto" w:fill="auto"/>
            <w:noWrap/>
            <w:vAlign w:val="center"/>
            <w:hideMark/>
          </w:tcPr>
          <w:p w14:paraId="5409C04B" w14:textId="03E59B00"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-2.406 </w:t>
            </w:r>
          </w:p>
        </w:tc>
        <w:tc>
          <w:tcPr>
            <w:tcW w:w="500" w:type="pct"/>
            <w:tcBorders>
              <w:top w:val="nil"/>
              <w:left w:val="nil"/>
              <w:bottom w:val="nil"/>
              <w:right w:val="nil"/>
            </w:tcBorders>
            <w:shd w:val="clear" w:color="auto" w:fill="auto"/>
            <w:noWrap/>
            <w:vAlign w:val="center"/>
            <w:hideMark/>
          </w:tcPr>
          <w:p w14:paraId="1522DE95" w14:textId="0AF7FD7E"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75C1ABBA" w14:textId="1CE11B44"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21E60837" w14:textId="4CF551D4"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42</w:t>
            </w:r>
            <w:r w:rsidRPr="002C3397">
              <w:rPr>
                <w:rFonts w:ascii="Arial" w:eastAsia="等线" w:hAnsi="Arial" w:cs="Arial"/>
                <w:noProof/>
                <w:color w:val="000000"/>
                <w:kern w:val="0"/>
                <w:szCs w:val="21"/>
              </w:rPr>
              <w:t>]</w:t>
            </w:r>
          </w:p>
        </w:tc>
      </w:tr>
      <w:tr w:rsidR="00916F45" w:rsidRPr="002C3397" w14:paraId="6957AA33"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7AE6C26D" w14:textId="5EB551AB"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ENSMUSG00000036103</w:t>
            </w:r>
          </w:p>
        </w:tc>
        <w:tc>
          <w:tcPr>
            <w:tcW w:w="916" w:type="pct"/>
            <w:gridSpan w:val="2"/>
            <w:tcBorders>
              <w:top w:val="nil"/>
              <w:left w:val="nil"/>
              <w:bottom w:val="nil"/>
              <w:right w:val="nil"/>
            </w:tcBorders>
            <w:shd w:val="clear" w:color="auto" w:fill="auto"/>
            <w:noWrap/>
            <w:vAlign w:val="center"/>
            <w:hideMark/>
          </w:tcPr>
          <w:p w14:paraId="01BDC8E9" w14:textId="5A33A709"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Colec12</w:t>
            </w:r>
          </w:p>
        </w:tc>
        <w:tc>
          <w:tcPr>
            <w:tcW w:w="1169" w:type="pct"/>
            <w:tcBorders>
              <w:top w:val="nil"/>
              <w:left w:val="nil"/>
              <w:bottom w:val="nil"/>
              <w:right w:val="nil"/>
            </w:tcBorders>
            <w:shd w:val="clear" w:color="auto" w:fill="auto"/>
            <w:noWrap/>
            <w:vAlign w:val="center"/>
            <w:hideMark/>
          </w:tcPr>
          <w:p w14:paraId="68D1491E" w14:textId="1AC6D146"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2.140 </w:t>
            </w:r>
          </w:p>
        </w:tc>
        <w:tc>
          <w:tcPr>
            <w:tcW w:w="500" w:type="pct"/>
            <w:tcBorders>
              <w:top w:val="nil"/>
              <w:left w:val="nil"/>
              <w:bottom w:val="nil"/>
              <w:right w:val="nil"/>
            </w:tcBorders>
            <w:shd w:val="clear" w:color="auto" w:fill="auto"/>
            <w:noWrap/>
            <w:vAlign w:val="center"/>
            <w:hideMark/>
          </w:tcPr>
          <w:p w14:paraId="3FEEDFC3" w14:textId="2475F8AD"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4A0B20D8" w14:textId="75B2CD26"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27F7D29D" w14:textId="1670EF05"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43</w:t>
            </w:r>
            <w:r w:rsidRPr="002C3397">
              <w:rPr>
                <w:rFonts w:ascii="Arial" w:eastAsia="等线" w:hAnsi="Arial" w:cs="Arial"/>
                <w:noProof/>
                <w:color w:val="000000"/>
                <w:kern w:val="0"/>
                <w:szCs w:val="21"/>
              </w:rPr>
              <w:t>]</w:t>
            </w:r>
          </w:p>
        </w:tc>
      </w:tr>
      <w:tr w:rsidR="00916F45" w:rsidRPr="002C3397" w14:paraId="38521D58"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63294635" w14:textId="11E6612C"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ENSMUSG00000040033</w:t>
            </w:r>
          </w:p>
        </w:tc>
        <w:tc>
          <w:tcPr>
            <w:tcW w:w="916" w:type="pct"/>
            <w:gridSpan w:val="2"/>
            <w:tcBorders>
              <w:top w:val="nil"/>
              <w:left w:val="nil"/>
              <w:bottom w:val="nil"/>
              <w:right w:val="nil"/>
            </w:tcBorders>
            <w:shd w:val="clear" w:color="auto" w:fill="auto"/>
            <w:noWrap/>
            <w:vAlign w:val="center"/>
            <w:hideMark/>
          </w:tcPr>
          <w:p w14:paraId="41775DBC" w14:textId="4FB69491"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Stat2</w:t>
            </w:r>
          </w:p>
        </w:tc>
        <w:tc>
          <w:tcPr>
            <w:tcW w:w="1169" w:type="pct"/>
            <w:tcBorders>
              <w:top w:val="nil"/>
              <w:left w:val="nil"/>
              <w:bottom w:val="nil"/>
              <w:right w:val="nil"/>
            </w:tcBorders>
            <w:shd w:val="clear" w:color="auto" w:fill="auto"/>
            <w:noWrap/>
            <w:vAlign w:val="center"/>
            <w:hideMark/>
          </w:tcPr>
          <w:p w14:paraId="1B53C027" w14:textId="6626F30C"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-3.686 </w:t>
            </w:r>
          </w:p>
        </w:tc>
        <w:tc>
          <w:tcPr>
            <w:tcW w:w="500" w:type="pct"/>
            <w:tcBorders>
              <w:top w:val="nil"/>
              <w:left w:val="nil"/>
              <w:bottom w:val="nil"/>
              <w:right w:val="nil"/>
            </w:tcBorders>
            <w:shd w:val="clear" w:color="auto" w:fill="auto"/>
            <w:noWrap/>
            <w:vAlign w:val="center"/>
            <w:hideMark/>
          </w:tcPr>
          <w:p w14:paraId="76FF5D40" w14:textId="6000A3F2"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3DA94C39" w14:textId="3FDAD71C"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22DDF6CF" w14:textId="23A0C0EF"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18</w:t>
            </w:r>
            <w:r w:rsidRPr="002C3397">
              <w:rPr>
                <w:rFonts w:ascii="Arial" w:eastAsia="等线" w:hAnsi="Arial" w:cs="Arial"/>
                <w:noProof/>
                <w:color w:val="000000"/>
                <w:kern w:val="0"/>
                <w:szCs w:val="21"/>
              </w:rPr>
              <w:t>]</w:t>
            </w:r>
          </w:p>
        </w:tc>
      </w:tr>
      <w:tr w:rsidR="00916F45" w:rsidRPr="002C3397" w14:paraId="719E8AC0"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413C9102" w14:textId="11EE0E49"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ENSMUSG00000020641</w:t>
            </w:r>
          </w:p>
        </w:tc>
        <w:tc>
          <w:tcPr>
            <w:tcW w:w="916" w:type="pct"/>
            <w:gridSpan w:val="2"/>
            <w:tcBorders>
              <w:top w:val="nil"/>
              <w:left w:val="nil"/>
              <w:bottom w:val="nil"/>
              <w:right w:val="nil"/>
            </w:tcBorders>
            <w:shd w:val="clear" w:color="auto" w:fill="auto"/>
            <w:noWrap/>
            <w:vAlign w:val="center"/>
            <w:hideMark/>
          </w:tcPr>
          <w:p w14:paraId="4B93E3F9" w14:textId="3D2E66CE"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Rsad2</w:t>
            </w:r>
          </w:p>
        </w:tc>
        <w:tc>
          <w:tcPr>
            <w:tcW w:w="1169" w:type="pct"/>
            <w:tcBorders>
              <w:top w:val="nil"/>
              <w:left w:val="nil"/>
              <w:bottom w:val="nil"/>
              <w:right w:val="nil"/>
            </w:tcBorders>
            <w:shd w:val="clear" w:color="auto" w:fill="auto"/>
            <w:noWrap/>
            <w:vAlign w:val="center"/>
            <w:hideMark/>
          </w:tcPr>
          <w:p w14:paraId="039DB707" w14:textId="5DC998DC"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-5.071 </w:t>
            </w:r>
          </w:p>
        </w:tc>
        <w:tc>
          <w:tcPr>
            <w:tcW w:w="500" w:type="pct"/>
            <w:tcBorders>
              <w:top w:val="nil"/>
              <w:left w:val="nil"/>
              <w:bottom w:val="nil"/>
              <w:right w:val="nil"/>
            </w:tcBorders>
            <w:shd w:val="clear" w:color="auto" w:fill="auto"/>
            <w:noWrap/>
            <w:vAlign w:val="center"/>
            <w:hideMark/>
          </w:tcPr>
          <w:p w14:paraId="54834CC7" w14:textId="2C20E3CD"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4C2541D6" w14:textId="3A2AA8F2"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4C5B9CE3" w14:textId="2D55BEF9"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44</w:t>
            </w:r>
            <w:r w:rsidRPr="002C3397">
              <w:rPr>
                <w:rFonts w:ascii="Arial" w:eastAsia="等线" w:hAnsi="Arial" w:cs="Arial"/>
                <w:noProof/>
                <w:color w:val="000000"/>
                <w:kern w:val="0"/>
                <w:szCs w:val="21"/>
              </w:rPr>
              <w:t>]</w:t>
            </w:r>
          </w:p>
        </w:tc>
      </w:tr>
      <w:tr w:rsidR="00916F45" w:rsidRPr="002C3397" w14:paraId="7FFDA56A"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6A3DE33B" w14:textId="459088E9"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ENSMUSG00000024190</w:t>
            </w:r>
          </w:p>
        </w:tc>
        <w:tc>
          <w:tcPr>
            <w:tcW w:w="916" w:type="pct"/>
            <w:gridSpan w:val="2"/>
            <w:tcBorders>
              <w:top w:val="nil"/>
              <w:left w:val="nil"/>
              <w:bottom w:val="nil"/>
              <w:right w:val="nil"/>
            </w:tcBorders>
            <w:shd w:val="clear" w:color="auto" w:fill="auto"/>
            <w:noWrap/>
            <w:vAlign w:val="center"/>
            <w:hideMark/>
          </w:tcPr>
          <w:p w14:paraId="63433575" w14:textId="5BA87769"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Dusp1</w:t>
            </w:r>
          </w:p>
        </w:tc>
        <w:tc>
          <w:tcPr>
            <w:tcW w:w="1169" w:type="pct"/>
            <w:tcBorders>
              <w:top w:val="nil"/>
              <w:left w:val="nil"/>
              <w:bottom w:val="nil"/>
              <w:right w:val="nil"/>
            </w:tcBorders>
            <w:shd w:val="clear" w:color="auto" w:fill="auto"/>
            <w:noWrap/>
            <w:vAlign w:val="center"/>
            <w:hideMark/>
          </w:tcPr>
          <w:p w14:paraId="2466C058" w14:textId="53D5D994"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4.728 </w:t>
            </w:r>
          </w:p>
        </w:tc>
        <w:tc>
          <w:tcPr>
            <w:tcW w:w="500" w:type="pct"/>
            <w:tcBorders>
              <w:top w:val="nil"/>
              <w:left w:val="nil"/>
              <w:bottom w:val="nil"/>
              <w:right w:val="nil"/>
            </w:tcBorders>
            <w:shd w:val="clear" w:color="auto" w:fill="auto"/>
            <w:noWrap/>
            <w:vAlign w:val="center"/>
            <w:hideMark/>
          </w:tcPr>
          <w:p w14:paraId="14EDA698" w14:textId="46DB62C5"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7C1CD8A7" w14:textId="7D5703E1"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79B06AC9" w14:textId="0E008717"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45</w:t>
            </w:r>
            <w:r w:rsidRPr="002C3397">
              <w:rPr>
                <w:rFonts w:ascii="Arial" w:eastAsia="等线" w:hAnsi="Arial" w:cs="Arial"/>
                <w:noProof/>
                <w:color w:val="000000"/>
                <w:kern w:val="0"/>
                <w:szCs w:val="21"/>
              </w:rPr>
              <w:t>]</w:t>
            </w:r>
          </w:p>
        </w:tc>
      </w:tr>
      <w:tr w:rsidR="00916F45" w:rsidRPr="002C3397" w14:paraId="0AE7D4D7" w14:textId="77777777" w:rsidTr="003075F3">
        <w:trPr>
          <w:trHeight w:val="310"/>
        </w:trPr>
        <w:tc>
          <w:tcPr>
            <w:tcW w:w="915" w:type="pct"/>
            <w:gridSpan w:val="2"/>
            <w:tcBorders>
              <w:top w:val="nil"/>
              <w:left w:val="nil"/>
              <w:bottom w:val="nil"/>
              <w:right w:val="nil"/>
            </w:tcBorders>
            <w:shd w:val="clear" w:color="auto" w:fill="auto"/>
            <w:noWrap/>
            <w:vAlign w:val="center"/>
          </w:tcPr>
          <w:p w14:paraId="40BFD236" w14:textId="7FC20972" w:rsidR="00916F45" w:rsidRPr="002C3397" w:rsidRDefault="00F121B9" w:rsidP="00916F45">
            <w:pPr>
              <w:widowControl/>
              <w:jc w:val="left"/>
              <w:rPr>
                <w:rFonts w:ascii="Arial" w:eastAsia="等线" w:hAnsi="Arial" w:cs="Arial"/>
                <w:color w:val="000000"/>
                <w:szCs w:val="21"/>
              </w:rPr>
            </w:pPr>
            <w:r w:rsidRPr="002C3397">
              <w:rPr>
                <w:rFonts w:ascii="Arial" w:eastAsia="等线" w:hAnsi="Arial" w:cs="Arial"/>
                <w:color w:val="000000"/>
                <w:szCs w:val="21"/>
              </w:rPr>
              <w:lastRenderedPageBreak/>
              <w:t>ENSMUSG00000015947</w:t>
            </w:r>
          </w:p>
        </w:tc>
        <w:tc>
          <w:tcPr>
            <w:tcW w:w="916" w:type="pct"/>
            <w:gridSpan w:val="2"/>
            <w:tcBorders>
              <w:top w:val="nil"/>
              <w:left w:val="nil"/>
              <w:bottom w:val="nil"/>
              <w:right w:val="nil"/>
            </w:tcBorders>
            <w:shd w:val="clear" w:color="auto" w:fill="auto"/>
            <w:noWrap/>
            <w:vAlign w:val="center"/>
            <w:hideMark/>
          </w:tcPr>
          <w:p w14:paraId="19F04174" w14:textId="122AE9C4" w:rsidR="00916F45" w:rsidRPr="002C3397" w:rsidRDefault="001134C7"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Fcgr1</w:t>
            </w:r>
          </w:p>
        </w:tc>
        <w:tc>
          <w:tcPr>
            <w:tcW w:w="1169" w:type="pct"/>
            <w:tcBorders>
              <w:top w:val="nil"/>
              <w:left w:val="nil"/>
              <w:bottom w:val="nil"/>
              <w:right w:val="nil"/>
            </w:tcBorders>
            <w:shd w:val="clear" w:color="auto" w:fill="auto"/>
            <w:noWrap/>
            <w:vAlign w:val="center"/>
            <w:hideMark/>
          </w:tcPr>
          <w:p w14:paraId="310BBED5" w14:textId="55DCCEFA"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-2.</w:t>
            </w:r>
            <w:r w:rsidR="001134C7" w:rsidRPr="002C3397">
              <w:rPr>
                <w:rFonts w:ascii="Arial" w:eastAsia="等线" w:hAnsi="Arial" w:cs="Arial"/>
                <w:color w:val="000000"/>
                <w:szCs w:val="21"/>
              </w:rPr>
              <w:t>239</w:t>
            </w:r>
            <w:r w:rsidRPr="002C3397">
              <w:rPr>
                <w:rFonts w:ascii="Arial" w:eastAsia="等线" w:hAnsi="Arial" w:cs="Arial"/>
                <w:color w:val="000000"/>
                <w:szCs w:val="21"/>
              </w:rPr>
              <w:t xml:space="preserve"> </w:t>
            </w:r>
          </w:p>
        </w:tc>
        <w:tc>
          <w:tcPr>
            <w:tcW w:w="500" w:type="pct"/>
            <w:tcBorders>
              <w:top w:val="nil"/>
              <w:left w:val="nil"/>
              <w:bottom w:val="nil"/>
              <w:right w:val="nil"/>
            </w:tcBorders>
            <w:shd w:val="clear" w:color="auto" w:fill="auto"/>
            <w:noWrap/>
            <w:vAlign w:val="center"/>
            <w:hideMark/>
          </w:tcPr>
          <w:p w14:paraId="2AA4B3FE" w14:textId="0370AF39"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0B99DD1C" w14:textId="0C5E8443"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28C439BD" w14:textId="726CF3B2"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46</w:t>
            </w:r>
            <w:r w:rsidRPr="002C3397">
              <w:rPr>
                <w:rFonts w:ascii="Arial" w:eastAsia="等线" w:hAnsi="Arial" w:cs="Arial"/>
                <w:noProof/>
                <w:color w:val="000000"/>
                <w:kern w:val="0"/>
                <w:szCs w:val="21"/>
              </w:rPr>
              <w:t>]</w:t>
            </w:r>
          </w:p>
        </w:tc>
      </w:tr>
      <w:tr w:rsidR="00916F45" w:rsidRPr="002C3397" w14:paraId="003304E8"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7ADCF306" w14:textId="4C34CFF3"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ENSMUSG00000035692</w:t>
            </w:r>
          </w:p>
        </w:tc>
        <w:tc>
          <w:tcPr>
            <w:tcW w:w="916" w:type="pct"/>
            <w:gridSpan w:val="2"/>
            <w:tcBorders>
              <w:top w:val="nil"/>
              <w:left w:val="nil"/>
              <w:bottom w:val="nil"/>
              <w:right w:val="nil"/>
            </w:tcBorders>
            <w:shd w:val="clear" w:color="auto" w:fill="auto"/>
            <w:noWrap/>
            <w:vAlign w:val="center"/>
            <w:hideMark/>
          </w:tcPr>
          <w:p w14:paraId="096432DB" w14:textId="11F08DB3"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Isg15</w:t>
            </w:r>
          </w:p>
        </w:tc>
        <w:tc>
          <w:tcPr>
            <w:tcW w:w="1169" w:type="pct"/>
            <w:tcBorders>
              <w:top w:val="nil"/>
              <w:left w:val="nil"/>
              <w:bottom w:val="nil"/>
              <w:right w:val="nil"/>
            </w:tcBorders>
            <w:shd w:val="clear" w:color="auto" w:fill="auto"/>
            <w:noWrap/>
            <w:vAlign w:val="center"/>
            <w:hideMark/>
          </w:tcPr>
          <w:p w14:paraId="63FFB0D5" w14:textId="38575E07"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-3.323 </w:t>
            </w:r>
          </w:p>
        </w:tc>
        <w:tc>
          <w:tcPr>
            <w:tcW w:w="500" w:type="pct"/>
            <w:tcBorders>
              <w:top w:val="nil"/>
              <w:left w:val="nil"/>
              <w:bottom w:val="nil"/>
              <w:right w:val="nil"/>
            </w:tcBorders>
            <w:shd w:val="clear" w:color="auto" w:fill="auto"/>
            <w:noWrap/>
            <w:vAlign w:val="center"/>
            <w:hideMark/>
          </w:tcPr>
          <w:p w14:paraId="632FBAD6" w14:textId="5B00A32A"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391F8D51" w14:textId="54033E1A"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0A7D33A5" w14:textId="7F7714C6"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47</w:t>
            </w:r>
            <w:r w:rsidRPr="002C3397">
              <w:rPr>
                <w:rFonts w:ascii="Arial" w:eastAsia="等线" w:hAnsi="Arial" w:cs="Arial"/>
                <w:noProof/>
                <w:color w:val="000000"/>
                <w:kern w:val="0"/>
                <w:szCs w:val="21"/>
              </w:rPr>
              <w:t xml:space="preserve">, </w:t>
            </w:r>
            <w:r w:rsidR="00F05D34" w:rsidRPr="002C3397">
              <w:rPr>
                <w:rFonts w:ascii="Arial" w:eastAsia="等线" w:hAnsi="Arial" w:cs="Arial"/>
                <w:noProof/>
                <w:color w:val="000000"/>
                <w:kern w:val="0"/>
                <w:szCs w:val="21"/>
              </w:rPr>
              <w:t>48</w:t>
            </w:r>
            <w:r w:rsidRPr="002C3397">
              <w:rPr>
                <w:rFonts w:ascii="Arial" w:eastAsia="等线" w:hAnsi="Arial" w:cs="Arial"/>
                <w:noProof/>
                <w:color w:val="000000"/>
                <w:kern w:val="0"/>
                <w:szCs w:val="21"/>
              </w:rPr>
              <w:t>]</w:t>
            </w:r>
          </w:p>
        </w:tc>
      </w:tr>
      <w:tr w:rsidR="00916F45" w:rsidRPr="002C3397" w14:paraId="586BCB01"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404FE217" w14:textId="0CE3D026"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ENSMUSG00000063268</w:t>
            </w:r>
          </w:p>
        </w:tc>
        <w:tc>
          <w:tcPr>
            <w:tcW w:w="916" w:type="pct"/>
            <w:gridSpan w:val="2"/>
            <w:tcBorders>
              <w:top w:val="nil"/>
              <w:left w:val="nil"/>
              <w:bottom w:val="nil"/>
              <w:right w:val="nil"/>
            </w:tcBorders>
            <w:shd w:val="clear" w:color="auto" w:fill="auto"/>
            <w:noWrap/>
            <w:vAlign w:val="center"/>
            <w:hideMark/>
          </w:tcPr>
          <w:p w14:paraId="53A173D5" w14:textId="2A7D84FA"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Parp10</w:t>
            </w:r>
          </w:p>
        </w:tc>
        <w:tc>
          <w:tcPr>
            <w:tcW w:w="1169" w:type="pct"/>
            <w:tcBorders>
              <w:top w:val="nil"/>
              <w:left w:val="nil"/>
              <w:bottom w:val="nil"/>
              <w:right w:val="nil"/>
            </w:tcBorders>
            <w:shd w:val="clear" w:color="auto" w:fill="auto"/>
            <w:noWrap/>
            <w:vAlign w:val="center"/>
            <w:hideMark/>
          </w:tcPr>
          <w:p w14:paraId="73E594AF" w14:textId="75E6893B"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-4.420 </w:t>
            </w:r>
          </w:p>
        </w:tc>
        <w:tc>
          <w:tcPr>
            <w:tcW w:w="500" w:type="pct"/>
            <w:tcBorders>
              <w:top w:val="nil"/>
              <w:left w:val="nil"/>
              <w:bottom w:val="nil"/>
              <w:right w:val="nil"/>
            </w:tcBorders>
            <w:shd w:val="clear" w:color="auto" w:fill="auto"/>
            <w:noWrap/>
            <w:vAlign w:val="center"/>
            <w:hideMark/>
          </w:tcPr>
          <w:p w14:paraId="4985E367" w14:textId="28C9718F"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3071BA90" w14:textId="159DF629"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160EFF7B" w14:textId="33ADAB1D"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49</w:t>
            </w:r>
            <w:r w:rsidRPr="002C3397">
              <w:rPr>
                <w:rFonts w:ascii="Arial" w:eastAsia="等线" w:hAnsi="Arial" w:cs="Arial"/>
                <w:noProof/>
                <w:color w:val="000000"/>
                <w:kern w:val="0"/>
                <w:szCs w:val="21"/>
              </w:rPr>
              <w:t xml:space="preserve">, </w:t>
            </w:r>
            <w:r w:rsidR="00F05D34" w:rsidRPr="002C3397">
              <w:rPr>
                <w:rFonts w:ascii="Arial" w:eastAsia="等线" w:hAnsi="Arial" w:cs="Arial"/>
                <w:noProof/>
                <w:color w:val="000000"/>
                <w:kern w:val="0"/>
                <w:szCs w:val="21"/>
              </w:rPr>
              <w:t>50</w:t>
            </w:r>
            <w:r w:rsidRPr="002C3397">
              <w:rPr>
                <w:rFonts w:ascii="Arial" w:eastAsia="等线" w:hAnsi="Arial" w:cs="Arial"/>
                <w:noProof/>
                <w:color w:val="000000"/>
                <w:kern w:val="0"/>
                <w:szCs w:val="21"/>
              </w:rPr>
              <w:t>]</w:t>
            </w:r>
          </w:p>
        </w:tc>
      </w:tr>
      <w:tr w:rsidR="00916F45" w:rsidRPr="002C3397" w14:paraId="60E5B0C5"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3A57BD7B" w14:textId="5F1D86E1"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ENSMUSG00000033880</w:t>
            </w:r>
          </w:p>
        </w:tc>
        <w:tc>
          <w:tcPr>
            <w:tcW w:w="916" w:type="pct"/>
            <w:gridSpan w:val="2"/>
            <w:tcBorders>
              <w:top w:val="nil"/>
              <w:left w:val="nil"/>
              <w:bottom w:val="nil"/>
              <w:right w:val="nil"/>
            </w:tcBorders>
            <w:shd w:val="clear" w:color="auto" w:fill="auto"/>
            <w:noWrap/>
            <w:vAlign w:val="center"/>
            <w:hideMark/>
          </w:tcPr>
          <w:p w14:paraId="530CE289" w14:textId="5C0B5BC5"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Lgals3bp</w:t>
            </w:r>
          </w:p>
        </w:tc>
        <w:tc>
          <w:tcPr>
            <w:tcW w:w="1169" w:type="pct"/>
            <w:tcBorders>
              <w:top w:val="nil"/>
              <w:left w:val="nil"/>
              <w:bottom w:val="nil"/>
              <w:right w:val="nil"/>
            </w:tcBorders>
            <w:shd w:val="clear" w:color="auto" w:fill="auto"/>
            <w:noWrap/>
            <w:vAlign w:val="center"/>
            <w:hideMark/>
          </w:tcPr>
          <w:p w14:paraId="305B8D38" w14:textId="4EF3C61E"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-5.499 </w:t>
            </w:r>
          </w:p>
        </w:tc>
        <w:tc>
          <w:tcPr>
            <w:tcW w:w="500" w:type="pct"/>
            <w:tcBorders>
              <w:top w:val="nil"/>
              <w:left w:val="nil"/>
              <w:bottom w:val="nil"/>
              <w:right w:val="nil"/>
            </w:tcBorders>
            <w:shd w:val="clear" w:color="auto" w:fill="auto"/>
            <w:noWrap/>
            <w:vAlign w:val="center"/>
            <w:hideMark/>
          </w:tcPr>
          <w:p w14:paraId="434562F4" w14:textId="352BA60C"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57F1FAAA" w14:textId="6DA1E86C"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792A254B" w14:textId="4CFD0CD6"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51</w:t>
            </w:r>
            <w:r w:rsidRPr="002C3397">
              <w:rPr>
                <w:rFonts w:ascii="Arial" w:eastAsia="等线" w:hAnsi="Arial" w:cs="Arial"/>
                <w:noProof/>
                <w:color w:val="000000"/>
                <w:kern w:val="0"/>
                <w:szCs w:val="21"/>
              </w:rPr>
              <w:t>]</w:t>
            </w:r>
          </w:p>
        </w:tc>
      </w:tr>
      <w:tr w:rsidR="00916F45" w:rsidRPr="002C3397" w14:paraId="5F2C6AC3"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66BB5F97" w14:textId="7CF9625D"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ENSMUSG00000069516</w:t>
            </w:r>
          </w:p>
        </w:tc>
        <w:tc>
          <w:tcPr>
            <w:tcW w:w="916" w:type="pct"/>
            <w:gridSpan w:val="2"/>
            <w:tcBorders>
              <w:top w:val="nil"/>
              <w:left w:val="nil"/>
              <w:bottom w:val="nil"/>
              <w:right w:val="nil"/>
            </w:tcBorders>
            <w:shd w:val="clear" w:color="auto" w:fill="auto"/>
            <w:noWrap/>
            <w:vAlign w:val="center"/>
            <w:hideMark/>
          </w:tcPr>
          <w:p w14:paraId="3D4EFE85" w14:textId="4E1F0659"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Lyz2</w:t>
            </w:r>
          </w:p>
        </w:tc>
        <w:tc>
          <w:tcPr>
            <w:tcW w:w="1169" w:type="pct"/>
            <w:tcBorders>
              <w:top w:val="nil"/>
              <w:left w:val="nil"/>
              <w:bottom w:val="nil"/>
              <w:right w:val="nil"/>
            </w:tcBorders>
            <w:shd w:val="clear" w:color="auto" w:fill="auto"/>
            <w:noWrap/>
            <w:vAlign w:val="center"/>
            <w:hideMark/>
          </w:tcPr>
          <w:p w14:paraId="1A8705EA" w14:textId="0DE83684"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-2.002 </w:t>
            </w:r>
          </w:p>
        </w:tc>
        <w:tc>
          <w:tcPr>
            <w:tcW w:w="500" w:type="pct"/>
            <w:tcBorders>
              <w:top w:val="nil"/>
              <w:left w:val="nil"/>
              <w:bottom w:val="nil"/>
              <w:right w:val="nil"/>
            </w:tcBorders>
            <w:shd w:val="clear" w:color="auto" w:fill="auto"/>
            <w:noWrap/>
            <w:vAlign w:val="center"/>
            <w:hideMark/>
          </w:tcPr>
          <w:p w14:paraId="48FAB46E" w14:textId="6B87D7B6"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54E8B24E" w14:textId="109E99DA"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7E0D4C13" w14:textId="38F2BF47"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52</w:t>
            </w:r>
            <w:r w:rsidRPr="002C3397">
              <w:rPr>
                <w:rFonts w:ascii="Arial" w:eastAsia="等线" w:hAnsi="Arial" w:cs="Arial"/>
                <w:noProof/>
                <w:color w:val="000000"/>
                <w:kern w:val="0"/>
                <w:szCs w:val="21"/>
              </w:rPr>
              <w:t>]</w:t>
            </w:r>
          </w:p>
        </w:tc>
      </w:tr>
      <w:tr w:rsidR="00916F45" w:rsidRPr="002C3397" w14:paraId="45DAA663"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4608B067" w14:textId="00D481E0"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ENSMUSG00000022150</w:t>
            </w:r>
          </w:p>
        </w:tc>
        <w:tc>
          <w:tcPr>
            <w:tcW w:w="916" w:type="pct"/>
            <w:gridSpan w:val="2"/>
            <w:tcBorders>
              <w:top w:val="nil"/>
              <w:left w:val="nil"/>
              <w:bottom w:val="nil"/>
              <w:right w:val="nil"/>
            </w:tcBorders>
            <w:shd w:val="clear" w:color="auto" w:fill="auto"/>
            <w:noWrap/>
            <w:vAlign w:val="center"/>
            <w:hideMark/>
          </w:tcPr>
          <w:p w14:paraId="56643908" w14:textId="2391C9B4"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Dab2</w:t>
            </w:r>
          </w:p>
        </w:tc>
        <w:tc>
          <w:tcPr>
            <w:tcW w:w="1169" w:type="pct"/>
            <w:tcBorders>
              <w:top w:val="nil"/>
              <w:left w:val="nil"/>
              <w:bottom w:val="nil"/>
              <w:right w:val="nil"/>
            </w:tcBorders>
            <w:shd w:val="clear" w:color="auto" w:fill="auto"/>
            <w:noWrap/>
            <w:vAlign w:val="center"/>
            <w:hideMark/>
          </w:tcPr>
          <w:p w14:paraId="5DECCB09" w14:textId="66F1EA28"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-2.266 </w:t>
            </w:r>
          </w:p>
        </w:tc>
        <w:tc>
          <w:tcPr>
            <w:tcW w:w="500" w:type="pct"/>
            <w:tcBorders>
              <w:top w:val="nil"/>
              <w:left w:val="nil"/>
              <w:bottom w:val="nil"/>
              <w:right w:val="nil"/>
            </w:tcBorders>
            <w:shd w:val="clear" w:color="auto" w:fill="auto"/>
            <w:noWrap/>
            <w:vAlign w:val="center"/>
            <w:hideMark/>
          </w:tcPr>
          <w:p w14:paraId="6035FE05" w14:textId="43A19E8F"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125EF949" w14:textId="5B0A2C2C"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608E1579" w14:textId="2A979F45"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53</w:t>
            </w:r>
            <w:r w:rsidRPr="002C3397">
              <w:rPr>
                <w:rFonts w:ascii="Arial" w:eastAsia="等线" w:hAnsi="Arial" w:cs="Arial"/>
                <w:noProof/>
                <w:color w:val="000000"/>
                <w:kern w:val="0"/>
                <w:szCs w:val="21"/>
              </w:rPr>
              <w:t>]</w:t>
            </w:r>
          </w:p>
        </w:tc>
      </w:tr>
      <w:tr w:rsidR="00916F45" w:rsidRPr="002C3397" w14:paraId="2BB94BAB"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702DFF3A" w14:textId="29E1D6A1"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ENSMUSG00000078566</w:t>
            </w:r>
          </w:p>
        </w:tc>
        <w:tc>
          <w:tcPr>
            <w:tcW w:w="916" w:type="pct"/>
            <w:gridSpan w:val="2"/>
            <w:tcBorders>
              <w:top w:val="nil"/>
              <w:left w:val="nil"/>
              <w:bottom w:val="nil"/>
              <w:right w:val="nil"/>
            </w:tcBorders>
            <w:shd w:val="clear" w:color="auto" w:fill="auto"/>
            <w:noWrap/>
            <w:vAlign w:val="center"/>
            <w:hideMark/>
          </w:tcPr>
          <w:p w14:paraId="2FA5370D" w14:textId="3B410835"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Bnip3</w:t>
            </w:r>
          </w:p>
        </w:tc>
        <w:tc>
          <w:tcPr>
            <w:tcW w:w="1169" w:type="pct"/>
            <w:tcBorders>
              <w:top w:val="nil"/>
              <w:left w:val="nil"/>
              <w:bottom w:val="nil"/>
              <w:right w:val="nil"/>
            </w:tcBorders>
            <w:shd w:val="clear" w:color="auto" w:fill="auto"/>
            <w:noWrap/>
            <w:vAlign w:val="center"/>
            <w:hideMark/>
          </w:tcPr>
          <w:p w14:paraId="703DC59C" w14:textId="06B208AC"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3.574 </w:t>
            </w:r>
          </w:p>
        </w:tc>
        <w:tc>
          <w:tcPr>
            <w:tcW w:w="500" w:type="pct"/>
            <w:tcBorders>
              <w:top w:val="nil"/>
              <w:left w:val="nil"/>
              <w:bottom w:val="nil"/>
              <w:right w:val="nil"/>
            </w:tcBorders>
            <w:shd w:val="clear" w:color="auto" w:fill="auto"/>
            <w:noWrap/>
            <w:vAlign w:val="center"/>
            <w:hideMark/>
          </w:tcPr>
          <w:p w14:paraId="0CD2F45A" w14:textId="59AF1692"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13F4CBC8" w14:textId="37045711"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313A7C24" w14:textId="7AF767FE"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54</w:t>
            </w:r>
            <w:r w:rsidRPr="002C3397">
              <w:rPr>
                <w:rFonts w:ascii="Arial" w:eastAsia="等线" w:hAnsi="Arial" w:cs="Arial"/>
                <w:noProof/>
                <w:color w:val="000000"/>
                <w:kern w:val="0"/>
                <w:szCs w:val="21"/>
              </w:rPr>
              <w:t>]</w:t>
            </w:r>
          </w:p>
        </w:tc>
      </w:tr>
      <w:tr w:rsidR="00916F45" w:rsidRPr="002C3397" w14:paraId="2C025028"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7E98A9BF" w14:textId="04F1B038"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ENSMUSG00000053470</w:t>
            </w:r>
          </w:p>
        </w:tc>
        <w:tc>
          <w:tcPr>
            <w:tcW w:w="916" w:type="pct"/>
            <w:gridSpan w:val="2"/>
            <w:tcBorders>
              <w:top w:val="nil"/>
              <w:left w:val="nil"/>
              <w:bottom w:val="nil"/>
              <w:right w:val="nil"/>
            </w:tcBorders>
            <w:shd w:val="clear" w:color="auto" w:fill="auto"/>
            <w:noWrap/>
            <w:vAlign w:val="center"/>
            <w:hideMark/>
          </w:tcPr>
          <w:p w14:paraId="41B5014B" w14:textId="359C41D2"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Kdm3a</w:t>
            </w:r>
          </w:p>
        </w:tc>
        <w:tc>
          <w:tcPr>
            <w:tcW w:w="1169" w:type="pct"/>
            <w:tcBorders>
              <w:top w:val="nil"/>
              <w:left w:val="nil"/>
              <w:bottom w:val="nil"/>
              <w:right w:val="nil"/>
            </w:tcBorders>
            <w:shd w:val="clear" w:color="auto" w:fill="auto"/>
            <w:noWrap/>
            <w:vAlign w:val="center"/>
            <w:hideMark/>
          </w:tcPr>
          <w:p w14:paraId="57FF6C4B" w14:textId="0187D0B7"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2.461 </w:t>
            </w:r>
          </w:p>
        </w:tc>
        <w:tc>
          <w:tcPr>
            <w:tcW w:w="500" w:type="pct"/>
            <w:tcBorders>
              <w:top w:val="nil"/>
              <w:left w:val="nil"/>
              <w:bottom w:val="nil"/>
              <w:right w:val="nil"/>
            </w:tcBorders>
            <w:shd w:val="clear" w:color="auto" w:fill="auto"/>
            <w:noWrap/>
            <w:vAlign w:val="center"/>
            <w:hideMark/>
          </w:tcPr>
          <w:p w14:paraId="7CEA4F1C" w14:textId="15D61893"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43E9EB85" w14:textId="3F4C6477"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7FFD1B03" w14:textId="2F161B43"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55</w:t>
            </w:r>
            <w:r w:rsidRPr="002C3397">
              <w:rPr>
                <w:rFonts w:ascii="Arial" w:eastAsia="等线" w:hAnsi="Arial" w:cs="Arial"/>
                <w:noProof/>
                <w:color w:val="000000"/>
                <w:kern w:val="0"/>
                <w:szCs w:val="21"/>
              </w:rPr>
              <w:t>]</w:t>
            </w:r>
          </w:p>
        </w:tc>
      </w:tr>
      <w:tr w:rsidR="00916F45" w:rsidRPr="002C3397" w14:paraId="79373BD9"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6FC9D0FD" w14:textId="37F4FB9A"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ENSMUSG00000029771</w:t>
            </w:r>
          </w:p>
        </w:tc>
        <w:tc>
          <w:tcPr>
            <w:tcW w:w="916" w:type="pct"/>
            <w:gridSpan w:val="2"/>
            <w:tcBorders>
              <w:top w:val="nil"/>
              <w:left w:val="nil"/>
              <w:bottom w:val="nil"/>
              <w:right w:val="nil"/>
            </w:tcBorders>
            <w:shd w:val="clear" w:color="auto" w:fill="auto"/>
            <w:noWrap/>
            <w:vAlign w:val="center"/>
            <w:hideMark/>
          </w:tcPr>
          <w:p w14:paraId="2C637E89" w14:textId="5A1A4A36"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Irf5</w:t>
            </w:r>
          </w:p>
        </w:tc>
        <w:tc>
          <w:tcPr>
            <w:tcW w:w="1169" w:type="pct"/>
            <w:tcBorders>
              <w:top w:val="nil"/>
              <w:left w:val="nil"/>
              <w:bottom w:val="nil"/>
              <w:right w:val="nil"/>
            </w:tcBorders>
            <w:shd w:val="clear" w:color="auto" w:fill="auto"/>
            <w:noWrap/>
            <w:vAlign w:val="center"/>
            <w:hideMark/>
          </w:tcPr>
          <w:p w14:paraId="7FFA14B9" w14:textId="6F608C26"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-2.048 </w:t>
            </w:r>
          </w:p>
        </w:tc>
        <w:tc>
          <w:tcPr>
            <w:tcW w:w="500" w:type="pct"/>
            <w:tcBorders>
              <w:top w:val="nil"/>
              <w:left w:val="nil"/>
              <w:bottom w:val="nil"/>
              <w:right w:val="nil"/>
            </w:tcBorders>
            <w:shd w:val="clear" w:color="auto" w:fill="auto"/>
            <w:noWrap/>
            <w:vAlign w:val="center"/>
            <w:hideMark/>
          </w:tcPr>
          <w:p w14:paraId="37F9FDEF" w14:textId="651D3818"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0C8F9610" w14:textId="205635DB"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7B7CAE4A" w14:textId="55BE4780"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56</w:t>
            </w:r>
            <w:r w:rsidRPr="002C3397">
              <w:rPr>
                <w:rFonts w:ascii="Arial" w:eastAsia="等线" w:hAnsi="Arial" w:cs="Arial"/>
                <w:noProof/>
                <w:color w:val="000000"/>
                <w:kern w:val="0"/>
                <w:szCs w:val="21"/>
              </w:rPr>
              <w:t>]</w:t>
            </w:r>
          </w:p>
        </w:tc>
      </w:tr>
      <w:tr w:rsidR="00916F45" w:rsidRPr="002C3397" w14:paraId="2EEF5ADA"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56FFF47C" w14:textId="515F6AD8"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ENSMUSG00000034926</w:t>
            </w:r>
          </w:p>
        </w:tc>
        <w:tc>
          <w:tcPr>
            <w:tcW w:w="916" w:type="pct"/>
            <w:gridSpan w:val="2"/>
            <w:tcBorders>
              <w:top w:val="nil"/>
              <w:left w:val="nil"/>
              <w:bottom w:val="nil"/>
              <w:right w:val="nil"/>
            </w:tcBorders>
            <w:shd w:val="clear" w:color="auto" w:fill="auto"/>
            <w:noWrap/>
            <w:vAlign w:val="center"/>
            <w:hideMark/>
          </w:tcPr>
          <w:p w14:paraId="34530E3E" w14:textId="1D9D47E1"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Dhcr24</w:t>
            </w:r>
          </w:p>
        </w:tc>
        <w:tc>
          <w:tcPr>
            <w:tcW w:w="1169" w:type="pct"/>
            <w:tcBorders>
              <w:top w:val="nil"/>
              <w:left w:val="nil"/>
              <w:bottom w:val="nil"/>
              <w:right w:val="nil"/>
            </w:tcBorders>
            <w:shd w:val="clear" w:color="auto" w:fill="auto"/>
            <w:noWrap/>
            <w:vAlign w:val="center"/>
            <w:hideMark/>
          </w:tcPr>
          <w:p w14:paraId="71562827" w14:textId="39566424"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-3.700 </w:t>
            </w:r>
          </w:p>
        </w:tc>
        <w:tc>
          <w:tcPr>
            <w:tcW w:w="500" w:type="pct"/>
            <w:tcBorders>
              <w:top w:val="nil"/>
              <w:left w:val="nil"/>
              <w:bottom w:val="nil"/>
              <w:right w:val="nil"/>
            </w:tcBorders>
            <w:shd w:val="clear" w:color="auto" w:fill="auto"/>
            <w:noWrap/>
            <w:vAlign w:val="center"/>
            <w:hideMark/>
          </w:tcPr>
          <w:p w14:paraId="114F52E3" w14:textId="0BD5D3C4"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2B2B858A" w14:textId="4DB96EE4"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3FAEC604" w14:textId="17E509E6"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57</w:t>
            </w:r>
            <w:r w:rsidRPr="002C3397">
              <w:rPr>
                <w:rFonts w:ascii="Arial" w:eastAsia="等线" w:hAnsi="Arial" w:cs="Arial"/>
                <w:noProof/>
                <w:color w:val="000000"/>
                <w:kern w:val="0"/>
                <w:szCs w:val="21"/>
              </w:rPr>
              <w:t>]</w:t>
            </w:r>
          </w:p>
        </w:tc>
      </w:tr>
      <w:tr w:rsidR="00916F45" w:rsidRPr="002C3397" w14:paraId="0A6DD6A8"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2F7D170B" w14:textId="73CE6D3B"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ENSMUSG00000002233</w:t>
            </w:r>
          </w:p>
        </w:tc>
        <w:tc>
          <w:tcPr>
            <w:tcW w:w="916" w:type="pct"/>
            <w:gridSpan w:val="2"/>
            <w:tcBorders>
              <w:top w:val="nil"/>
              <w:left w:val="nil"/>
              <w:bottom w:val="nil"/>
              <w:right w:val="nil"/>
            </w:tcBorders>
            <w:shd w:val="clear" w:color="auto" w:fill="auto"/>
            <w:noWrap/>
            <w:vAlign w:val="center"/>
            <w:hideMark/>
          </w:tcPr>
          <w:p w14:paraId="6CE9BD29" w14:textId="5590DA23"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Rhoc</w:t>
            </w:r>
          </w:p>
        </w:tc>
        <w:tc>
          <w:tcPr>
            <w:tcW w:w="1169" w:type="pct"/>
            <w:tcBorders>
              <w:top w:val="nil"/>
              <w:left w:val="nil"/>
              <w:bottom w:val="nil"/>
              <w:right w:val="nil"/>
            </w:tcBorders>
            <w:shd w:val="clear" w:color="auto" w:fill="auto"/>
            <w:noWrap/>
            <w:vAlign w:val="center"/>
            <w:hideMark/>
          </w:tcPr>
          <w:p w14:paraId="5E0AC8A0" w14:textId="67DD8524"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2.041 </w:t>
            </w:r>
          </w:p>
        </w:tc>
        <w:tc>
          <w:tcPr>
            <w:tcW w:w="500" w:type="pct"/>
            <w:tcBorders>
              <w:top w:val="nil"/>
              <w:left w:val="nil"/>
              <w:bottom w:val="nil"/>
              <w:right w:val="nil"/>
            </w:tcBorders>
            <w:shd w:val="clear" w:color="auto" w:fill="auto"/>
            <w:noWrap/>
            <w:vAlign w:val="center"/>
            <w:hideMark/>
          </w:tcPr>
          <w:p w14:paraId="5EBF9058" w14:textId="7CB2330B"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76116139" w14:textId="203CF39E"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13CBBF12" w14:textId="3507E54B"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58</w:t>
            </w:r>
            <w:r w:rsidRPr="002C3397">
              <w:rPr>
                <w:rFonts w:ascii="Arial" w:eastAsia="等线" w:hAnsi="Arial" w:cs="Arial"/>
                <w:noProof/>
                <w:color w:val="000000"/>
                <w:kern w:val="0"/>
                <w:szCs w:val="21"/>
              </w:rPr>
              <w:t>]</w:t>
            </w:r>
          </w:p>
        </w:tc>
      </w:tr>
      <w:tr w:rsidR="00916F45" w:rsidRPr="002C3397" w14:paraId="191ED6BE"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32D09897" w14:textId="7F0E72AF"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ENSMUSG00000034459</w:t>
            </w:r>
          </w:p>
        </w:tc>
        <w:tc>
          <w:tcPr>
            <w:tcW w:w="916" w:type="pct"/>
            <w:gridSpan w:val="2"/>
            <w:tcBorders>
              <w:top w:val="nil"/>
              <w:left w:val="nil"/>
              <w:bottom w:val="nil"/>
              <w:right w:val="nil"/>
            </w:tcBorders>
            <w:shd w:val="clear" w:color="auto" w:fill="auto"/>
            <w:noWrap/>
            <w:vAlign w:val="center"/>
            <w:hideMark/>
          </w:tcPr>
          <w:p w14:paraId="077A9D1E" w14:textId="438D500C"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Ifit1</w:t>
            </w:r>
          </w:p>
        </w:tc>
        <w:tc>
          <w:tcPr>
            <w:tcW w:w="1169" w:type="pct"/>
            <w:tcBorders>
              <w:top w:val="nil"/>
              <w:left w:val="nil"/>
              <w:bottom w:val="nil"/>
              <w:right w:val="nil"/>
            </w:tcBorders>
            <w:shd w:val="clear" w:color="auto" w:fill="auto"/>
            <w:noWrap/>
            <w:vAlign w:val="center"/>
            <w:hideMark/>
          </w:tcPr>
          <w:p w14:paraId="05EA4D96" w14:textId="272BD570"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-7.153 </w:t>
            </w:r>
          </w:p>
        </w:tc>
        <w:tc>
          <w:tcPr>
            <w:tcW w:w="500" w:type="pct"/>
            <w:tcBorders>
              <w:top w:val="nil"/>
              <w:left w:val="nil"/>
              <w:bottom w:val="nil"/>
              <w:right w:val="nil"/>
            </w:tcBorders>
            <w:shd w:val="clear" w:color="auto" w:fill="auto"/>
            <w:noWrap/>
            <w:vAlign w:val="center"/>
            <w:hideMark/>
          </w:tcPr>
          <w:p w14:paraId="08AF2420" w14:textId="61491E7C"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42098EAE" w14:textId="60C6EB43"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03B385C0" w14:textId="49209516"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25</w:t>
            </w:r>
            <w:r w:rsidRPr="002C3397">
              <w:rPr>
                <w:rFonts w:ascii="Arial" w:eastAsia="等线" w:hAnsi="Arial" w:cs="Arial"/>
                <w:noProof/>
                <w:color w:val="000000"/>
                <w:kern w:val="0"/>
                <w:szCs w:val="21"/>
              </w:rPr>
              <w:t>]</w:t>
            </w:r>
          </w:p>
        </w:tc>
      </w:tr>
      <w:tr w:rsidR="00916F45" w:rsidRPr="002C3397" w14:paraId="24A54C1B"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4F20EF25" w14:textId="0890435B"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ENSMUSG00000022906</w:t>
            </w:r>
          </w:p>
        </w:tc>
        <w:tc>
          <w:tcPr>
            <w:tcW w:w="916" w:type="pct"/>
            <w:gridSpan w:val="2"/>
            <w:tcBorders>
              <w:top w:val="nil"/>
              <w:left w:val="nil"/>
              <w:bottom w:val="nil"/>
              <w:right w:val="nil"/>
            </w:tcBorders>
            <w:shd w:val="clear" w:color="auto" w:fill="auto"/>
            <w:noWrap/>
            <w:vAlign w:val="center"/>
            <w:hideMark/>
          </w:tcPr>
          <w:p w14:paraId="3D833A27" w14:textId="14A24D67"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Parp9</w:t>
            </w:r>
          </w:p>
        </w:tc>
        <w:tc>
          <w:tcPr>
            <w:tcW w:w="1169" w:type="pct"/>
            <w:tcBorders>
              <w:top w:val="nil"/>
              <w:left w:val="nil"/>
              <w:bottom w:val="nil"/>
              <w:right w:val="nil"/>
            </w:tcBorders>
            <w:shd w:val="clear" w:color="auto" w:fill="auto"/>
            <w:noWrap/>
            <w:vAlign w:val="center"/>
            <w:hideMark/>
          </w:tcPr>
          <w:p w14:paraId="6E5AD098" w14:textId="1992DF30"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-4.015 </w:t>
            </w:r>
          </w:p>
        </w:tc>
        <w:tc>
          <w:tcPr>
            <w:tcW w:w="500" w:type="pct"/>
            <w:tcBorders>
              <w:top w:val="nil"/>
              <w:left w:val="nil"/>
              <w:bottom w:val="nil"/>
              <w:right w:val="nil"/>
            </w:tcBorders>
            <w:shd w:val="clear" w:color="auto" w:fill="auto"/>
            <w:noWrap/>
            <w:vAlign w:val="center"/>
            <w:hideMark/>
          </w:tcPr>
          <w:p w14:paraId="2D013CAC" w14:textId="49836A30"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23816A3A" w14:textId="3EF308A5"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36D50172" w14:textId="59B3FE63"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17</w:t>
            </w:r>
            <w:r w:rsidRPr="002C3397">
              <w:rPr>
                <w:rFonts w:ascii="Arial" w:eastAsia="等线" w:hAnsi="Arial" w:cs="Arial"/>
                <w:noProof/>
                <w:color w:val="000000"/>
                <w:kern w:val="0"/>
                <w:szCs w:val="21"/>
              </w:rPr>
              <w:t>]</w:t>
            </w:r>
          </w:p>
        </w:tc>
      </w:tr>
      <w:tr w:rsidR="00916F45" w:rsidRPr="002C3397" w14:paraId="5B554B76"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74656B8A" w14:textId="5E3F8F1C"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ENSMUSG00000005583</w:t>
            </w:r>
          </w:p>
        </w:tc>
        <w:tc>
          <w:tcPr>
            <w:tcW w:w="916" w:type="pct"/>
            <w:gridSpan w:val="2"/>
            <w:tcBorders>
              <w:top w:val="nil"/>
              <w:left w:val="nil"/>
              <w:bottom w:val="nil"/>
              <w:right w:val="nil"/>
            </w:tcBorders>
            <w:shd w:val="clear" w:color="auto" w:fill="auto"/>
            <w:noWrap/>
            <w:vAlign w:val="center"/>
            <w:hideMark/>
          </w:tcPr>
          <w:p w14:paraId="71DB9520" w14:textId="1863A687"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Mef2c</w:t>
            </w:r>
          </w:p>
        </w:tc>
        <w:tc>
          <w:tcPr>
            <w:tcW w:w="1169" w:type="pct"/>
            <w:tcBorders>
              <w:top w:val="nil"/>
              <w:left w:val="nil"/>
              <w:bottom w:val="nil"/>
              <w:right w:val="nil"/>
            </w:tcBorders>
            <w:shd w:val="clear" w:color="auto" w:fill="auto"/>
            <w:noWrap/>
            <w:vAlign w:val="center"/>
            <w:hideMark/>
          </w:tcPr>
          <w:p w14:paraId="0FF4E08B" w14:textId="6D6712C4"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-3.227 </w:t>
            </w:r>
          </w:p>
        </w:tc>
        <w:tc>
          <w:tcPr>
            <w:tcW w:w="500" w:type="pct"/>
            <w:tcBorders>
              <w:top w:val="nil"/>
              <w:left w:val="nil"/>
              <w:bottom w:val="nil"/>
              <w:right w:val="nil"/>
            </w:tcBorders>
            <w:shd w:val="clear" w:color="auto" w:fill="auto"/>
            <w:noWrap/>
            <w:vAlign w:val="center"/>
            <w:hideMark/>
          </w:tcPr>
          <w:p w14:paraId="4056E7F9" w14:textId="300E69BD"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610E0D21" w14:textId="49E89EE4"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731A8460" w14:textId="1E21BAA9"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59</w:t>
            </w:r>
            <w:r w:rsidRPr="002C3397">
              <w:rPr>
                <w:rFonts w:ascii="Arial" w:eastAsia="等线" w:hAnsi="Arial" w:cs="Arial"/>
                <w:noProof/>
                <w:color w:val="000000"/>
                <w:kern w:val="0"/>
                <w:szCs w:val="21"/>
              </w:rPr>
              <w:t>]</w:t>
            </w:r>
          </w:p>
        </w:tc>
      </w:tr>
      <w:tr w:rsidR="00916F45" w:rsidRPr="002C3397" w14:paraId="084B45EC"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723CDFFB" w14:textId="1A6AE753"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ENSMUSG00000037936</w:t>
            </w:r>
          </w:p>
        </w:tc>
        <w:tc>
          <w:tcPr>
            <w:tcW w:w="916" w:type="pct"/>
            <w:gridSpan w:val="2"/>
            <w:tcBorders>
              <w:top w:val="nil"/>
              <w:left w:val="nil"/>
              <w:bottom w:val="nil"/>
              <w:right w:val="nil"/>
            </w:tcBorders>
            <w:shd w:val="clear" w:color="auto" w:fill="auto"/>
            <w:noWrap/>
            <w:vAlign w:val="center"/>
            <w:hideMark/>
          </w:tcPr>
          <w:p w14:paraId="24699287" w14:textId="33297A32"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Scarb1</w:t>
            </w:r>
          </w:p>
        </w:tc>
        <w:tc>
          <w:tcPr>
            <w:tcW w:w="1169" w:type="pct"/>
            <w:tcBorders>
              <w:top w:val="nil"/>
              <w:left w:val="nil"/>
              <w:bottom w:val="nil"/>
              <w:right w:val="nil"/>
            </w:tcBorders>
            <w:shd w:val="clear" w:color="auto" w:fill="auto"/>
            <w:noWrap/>
            <w:vAlign w:val="center"/>
            <w:hideMark/>
          </w:tcPr>
          <w:p w14:paraId="0126FFB7" w14:textId="439D22A5"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-3.033 </w:t>
            </w:r>
          </w:p>
        </w:tc>
        <w:tc>
          <w:tcPr>
            <w:tcW w:w="500" w:type="pct"/>
            <w:tcBorders>
              <w:top w:val="nil"/>
              <w:left w:val="nil"/>
              <w:bottom w:val="nil"/>
              <w:right w:val="nil"/>
            </w:tcBorders>
            <w:shd w:val="clear" w:color="auto" w:fill="auto"/>
            <w:noWrap/>
            <w:vAlign w:val="center"/>
            <w:hideMark/>
          </w:tcPr>
          <w:p w14:paraId="502CCB93" w14:textId="007EF5F5"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618A93CD" w14:textId="3844C30D"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1C551D21" w14:textId="726C9620"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60</w:t>
            </w:r>
            <w:r w:rsidRPr="002C3397">
              <w:rPr>
                <w:rFonts w:ascii="Arial" w:eastAsia="等线" w:hAnsi="Arial" w:cs="Arial"/>
                <w:noProof/>
                <w:color w:val="000000"/>
                <w:kern w:val="0"/>
                <w:szCs w:val="21"/>
              </w:rPr>
              <w:t>]</w:t>
            </w:r>
          </w:p>
        </w:tc>
      </w:tr>
      <w:tr w:rsidR="00916F45" w:rsidRPr="002C3397" w14:paraId="4C1F02F8"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4AC6146C" w14:textId="1061313A"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ENSMUSG00000037071</w:t>
            </w:r>
          </w:p>
        </w:tc>
        <w:tc>
          <w:tcPr>
            <w:tcW w:w="916" w:type="pct"/>
            <w:gridSpan w:val="2"/>
            <w:tcBorders>
              <w:top w:val="nil"/>
              <w:left w:val="nil"/>
              <w:bottom w:val="nil"/>
              <w:right w:val="nil"/>
            </w:tcBorders>
            <w:shd w:val="clear" w:color="auto" w:fill="auto"/>
            <w:noWrap/>
            <w:vAlign w:val="center"/>
            <w:hideMark/>
          </w:tcPr>
          <w:p w14:paraId="2C0A5B16" w14:textId="4E82F3C4"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Scd1</w:t>
            </w:r>
          </w:p>
        </w:tc>
        <w:tc>
          <w:tcPr>
            <w:tcW w:w="1169" w:type="pct"/>
            <w:tcBorders>
              <w:top w:val="nil"/>
              <w:left w:val="nil"/>
              <w:bottom w:val="nil"/>
              <w:right w:val="nil"/>
            </w:tcBorders>
            <w:shd w:val="clear" w:color="auto" w:fill="auto"/>
            <w:noWrap/>
            <w:vAlign w:val="center"/>
            <w:hideMark/>
          </w:tcPr>
          <w:p w14:paraId="24552B64" w14:textId="60AACE48"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-6.491 </w:t>
            </w:r>
          </w:p>
        </w:tc>
        <w:tc>
          <w:tcPr>
            <w:tcW w:w="500" w:type="pct"/>
            <w:tcBorders>
              <w:top w:val="nil"/>
              <w:left w:val="nil"/>
              <w:bottom w:val="nil"/>
              <w:right w:val="nil"/>
            </w:tcBorders>
            <w:shd w:val="clear" w:color="auto" w:fill="auto"/>
            <w:noWrap/>
            <w:vAlign w:val="center"/>
            <w:hideMark/>
          </w:tcPr>
          <w:p w14:paraId="726E7158" w14:textId="2AB394B4"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11FF2AE4" w14:textId="64DE353F"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051D324A" w14:textId="1A057608"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61</w:t>
            </w:r>
            <w:r w:rsidRPr="002C3397">
              <w:rPr>
                <w:rFonts w:ascii="Arial" w:eastAsia="等线" w:hAnsi="Arial" w:cs="Arial"/>
                <w:noProof/>
                <w:color w:val="000000"/>
                <w:kern w:val="0"/>
                <w:szCs w:val="21"/>
              </w:rPr>
              <w:t>]</w:t>
            </w:r>
          </w:p>
        </w:tc>
      </w:tr>
      <w:tr w:rsidR="00916F45" w:rsidRPr="002C3397" w14:paraId="3CD354F5"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5CC1C5E0" w14:textId="3B1D8B30"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ENSMUSG00000017830</w:t>
            </w:r>
          </w:p>
        </w:tc>
        <w:tc>
          <w:tcPr>
            <w:tcW w:w="916" w:type="pct"/>
            <w:gridSpan w:val="2"/>
            <w:tcBorders>
              <w:top w:val="nil"/>
              <w:left w:val="nil"/>
              <w:bottom w:val="nil"/>
              <w:right w:val="nil"/>
            </w:tcBorders>
            <w:shd w:val="clear" w:color="auto" w:fill="auto"/>
            <w:noWrap/>
            <w:vAlign w:val="center"/>
            <w:hideMark/>
          </w:tcPr>
          <w:p w14:paraId="10D0FDCA" w14:textId="6D7AFA22"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Dhx58</w:t>
            </w:r>
          </w:p>
        </w:tc>
        <w:tc>
          <w:tcPr>
            <w:tcW w:w="1169" w:type="pct"/>
            <w:tcBorders>
              <w:top w:val="nil"/>
              <w:left w:val="nil"/>
              <w:bottom w:val="nil"/>
              <w:right w:val="nil"/>
            </w:tcBorders>
            <w:shd w:val="clear" w:color="auto" w:fill="auto"/>
            <w:noWrap/>
            <w:vAlign w:val="center"/>
            <w:hideMark/>
          </w:tcPr>
          <w:p w14:paraId="3CA4F8F0" w14:textId="2AAAE219"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-5.650 </w:t>
            </w:r>
          </w:p>
        </w:tc>
        <w:tc>
          <w:tcPr>
            <w:tcW w:w="500" w:type="pct"/>
            <w:tcBorders>
              <w:top w:val="nil"/>
              <w:left w:val="nil"/>
              <w:bottom w:val="nil"/>
              <w:right w:val="nil"/>
            </w:tcBorders>
            <w:shd w:val="clear" w:color="auto" w:fill="auto"/>
            <w:noWrap/>
            <w:vAlign w:val="center"/>
            <w:hideMark/>
          </w:tcPr>
          <w:p w14:paraId="1FEEDEC3" w14:textId="57A4AFD4"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29E4B4EF" w14:textId="10C4AB52"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45FE0359" w14:textId="558EF875"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62</w:t>
            </w:r>
            <w:r w:rsidRPr="002C3397">
              <w:rPr>
                <w:rFonts w:ascii="Arial" w:eastAsia="等线" w:hAnsi="Arial" w:cs="Arial"/>
                <w:noProof/>
                <w:color w:val="000000"/>
                <w:kern w:val="0"/>
                <w:szCs w:val="21"/>
              </w:rPr>
              <w:t>]</w:t>
            </w:r>
          </w:p>
        </w:tc>
      </w:tr>
      <w:tr w:rsidR="00916F45" w:rsidRPr="002C3397" w14:paraId="1F7FE1DE"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126F1CDD" w14:textId="1E109CE7"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ENSMUSG00000018899</w:t>
            </w:r>
          </w:p>
        </w:tc>
        <w:tc>
          <w:tcPr>
            <w:tcW w:w="916" w:type="pct"/>
            <w:gridSpan w:val="2"/>
            <w:tcBorders>
              <w:top w:val="nil"/>
              <w:left w:val="nil"/>
              <w:bottom w:val="nil"/>
              <w:right w:val="nil"/>
            </w:tcBorders>
            <w:shd w:val="clear" w:color="auto" w:fill="auto"/>
            <w:noWrap/>
            <w:vAlign w:val="center"/>
            <w:hideMark/>
          </w:tcPr>
          <w:p w14:paraId="4BB3064D" w14:textId="288D5473"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Irf1</w:t>
            </w:r>
          </w:p>
        </w:tc>
        <w:tc>
          <w:tcPr>
            <w:tcW w:w="1169" w:type="pct"/>
            <w:tcBorders>
              <w:top w:val="nil"/>
              <w:left w:val="nil"/>
              <w:bottom w:val="nil"/>
              <w:right w:val="nil"/>
            </w:tcBorders>
            <w:shd w:val="clear" w:color="auto" w:fill="auto"/>
            <w:noWrap/>
            <w:vAlign w:val="center"/>
            <w:hideMark/>
          </w:tcPr>
          <w:p w14:paraId="2E05A4C5" w14:textId="7B10454A"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-3.848</w:t>
            </w:r>
          </w:p>
        </w:tc>
        <w:tc>
          <w:tcPr>
            <w:tcW w:w="500" w:type="pct"/>
            <w:tcBorders>
              <w:top w:val="nil"/>
              <w:left w:val="nil"/>
              <w:bottom w:val="nil"/>
              <w:right w:val="nil"/>
            </w:tcBorders>
            <w:shd w:val="clear" w:color="auto" w:fill="auto"/>
            <w:noWrap/>
            <w:vAlign w:val="center"/>
            <w:hideMark/>
          </w:tcPr>
          <w:p w14:paraId="298EE984" w14:textId="2B2C0EAD"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6AA13F86" w14:textId="16632B10"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470ED7F6" w14:textId="3C541B37"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62</w:t>
            </w:r>
            <w:r w:rsidRPr="002C3397">
              <w:rPr>
                <w:rFonts w:ascii="Arial" w:eastAsia="等线" w:hAnsi="Arial" w:cs="Arial"/>
                <w:noProof/>
                <w:color w:val="000000"/>
                <w:kern w:val="0"/>
                <w:szCs w:val="21"/>
              </w:rPr>
              <w:t xml:space="preserve">, </w:t>
            </w:r>
            <w:r w:rsidR="00F05D34" w:rsidRPr="002C3397">
              <w:rPr>
                <w:rFonts w:ascii="Arial" w:eastAsia="等线" w:hAnsi="Arial" w:cs="Arial"/>
                <w:noProof/>
                <w:color w:val="000000"/>
                <w:kern w:val="0"/>
                <w:szCs w:val="21"/>
              </w:rPr>
              <w:t>63</w:t>
            </w:r>
            <w:r w:rsidRPr="002C3397">
              <w:rPr>
                <w:rFonts w:ascii="Arial" w:eastAsia="等线" w:hAnsi="Arial" w:cs="Arial"/>
                <w:noProof/>
                <w:color w:val="000000"/>
                <w:kern w:val="0"/>
                <w:szCs w:val="21"/>
              </w:rPr>
              <w:t>]</w:t>
            </w:r>
          </w:p>
        </w:tc>
      </w:tr>
      <w:tr w:rsidR="00916F45" w:rsidRPr="002C3397" w14:paraId="4096F3AF"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0808D1E6" w14:textId="0DD175F4"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ENSMUSG00000058755</w:t>
            </w:r>
          </w:p>
        </w:tc>
        <w:tc>
          <w:tcPr>
            <w:tcW w:w="916" w:type="pct"/>
            <w:gridSpan w:val="2"/>
            <w:tcBorders>
              <w:top w:val="nil"/>
              <w:left w:val="nil"/>
              <w:bottom w:val="nil"/>
              <w:right w:val="nil"/>
            </w:tcBorders>
            <w:shd w:val="clear" w:color="auto" w:fill="auto"/>
            <w:noWrap/>
            <w:vAlign w:val="center"/>
            <w:hideMark/>
          </w:tcPr>
          <w:p w14:paraId="55692CA2" w14:textId="14ED55AD"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Osm</w:t>
            </w:r>
          </w:p>
        </w:tc>
        <w:tc>
          <w:tcPr>
            <w:tcW w:w="1169" w:type="pct"/>
            <w:tcBorders>
              <w:top w:val="nil"/>
              <w:left w:val="nil"/>
              <w:bottom w:val="nil"/>
              <w:right w:val="nil"/>
            </w:tcBorders>
            <w:shd w:val="clear" w:color="auto" w:fill="auto"/>
            <w:noWrap/>
            <w:vAlign w:val="center"/>
            <w:hideMark/>
          </w:tcPr>
          <w:p w14:paraId="3EE23904" w14:textId="459557D7"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2.957 </w:t>
            </w:r>
          </w:p>
        </w:tc>
        <w:tc>
          <w:tcPr>
            <w:tcW w:w="500" w:type="pct"/>
            <w:tcBorders>
              <w:top w:val="nil"/>
              <w:left w:val="nil"/>
              <w:bottom w:val="nil"/>
              <w:right w:val="nil"/>
            </w:tcBorders>
            <w:shd w:val="clear" w:color="auto" w:fill="auto"/>
            <w:noWrap/>
            <w:vAlign w:val="center"/>
            <w:hideMark/>
          </w:tcPr>
          <w:p w14:paraId="07B21317" w14:textId="78A6852B"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55931B84" w14:textId="3814BFDE"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07937FB5" w14:textId="3E98BE4F"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64</w:t>
            </w:r>
            <w:r w:rsidRPr="002C3397">
              <w:rPr>
                <w:rFonts w:ascii="Arial" w:eastAsia="等线" w:hAnsi="Arial" w:cs="Arial"/>
                <w:noProof/>
                <w:color w:val="000000"/>
                <w:kern w:val="0"/>
                <w:szCs w:val="21"/>
              </w:rPr>
              <w:t>]</w:t>
            </w:r>
          </w:p>
        </w:tc>
      </w:tr>
      <w:tr w:rsidR="00916F45" w:rsidRPr="002C3397" w14:paraId="5B5A753A"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7A0F4B80" w14:textId="2DA449F4"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ENSMUSG00000093930</w:t>
            </w:r>
          </w:p>
        </w:tc>
        <w:tc>
          <w:tcPr>
            <w:tcW w:w="916" w:type="pct"/>
            <w:gridSpan w:val="2"/>
            <w:tcBorders>
              <w:top w:val="nil"/>
              <w:left w:val="nil"/>
              <w:bottom w:val="nil"/>
              <w:right w:val="nil"/>
            </w:tcBorders>
            <w:shd w:val="clear" w:color="auto" w:fill="auto"/>
            <w:noWrap/>
            <w:vAlign w:val="center"/>
            <w:hideMark/>
          </w:tcPr>
          <w:p w14:paraId="37D05FEB" w14:textId="6801BB3E"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Hmgcs1</w:t>
            </w:r>
          </w:p>
        </w:tc>
        <w:tc>
          <w:tcPr>
            <w:tcW w:w="1169" w:type="pct"/>
            <w:tcBorders>
              <w:top w:val="nil"/>
              <w:left w:val="nil"/>
              <w:bottom w:val="nil"/>
              <w:right w:val="nil"/>
            </w:tcBorders>
            <w:shd w:val="clear" w:color="auto" w:fill="auto"/>
            <w:noWrap/>
            <w:vAlign w:val="center"/>
            <w:hideMark/>
          </w:tcPr>
          <w:p w14:paraId="4FFC7BEF" w14:textId="3404E4A3"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-2.911 </w:t>
            </w:r>
          </w:p>
        </w:tc>
        <w:tc>
          <w:tcPr>
            <w:tcW w:w="500" w:type="pct"/>
            <w:tcBorders>
              <w:top w:val="nil"/>
              <w:left w:val="nil"/>
              <w:bottom w:val="nil"/>
              <w:right w:val="nil"/>
            </w:tcBorders>
            <w:shd w:val="clear" w:color="auto" w:fill="auto"/>
            <w:noWrap/>
            <w:vAlign w:val="center"/>
            <w:hideMark/>
          </w:tcPr>
          <w:p w14:paraId="242B5731" w14:textId="0BE50C96"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2DBCC4B3" w14:textId="15879330"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3DD2CEF5" w14:textId="498916C7"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41</w:t>
            </w:r>
            <w:r w:rsidRPr="002C3397">
              <w:rPr>
                <w:rFonts w:ascii="Arial" w:eastAsia="等线" w:hAnsi="Arial" w:cs="Arial"/>
                <w:noProof/>
                <w:color w:val="000000"/>
                <w:kern w:val="0"/>
                <w:szCs w:val="21"/>
              </w:rPr>
              <w:t>]</w:t>
            </w:r>
          </w:p>
        </w:tc>
      </w:tr>
      <w:tr w:rsidR="00916F45" w:rsidRPr="002C3397" w14:paraId="0DD8F65D"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38502550" w14:textId="1551729C"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ENSMUSG00000034118</w:t>
            </w:r>
          </w:p>
        </w:tc>
        <w:tc>
          <w:tcPr>
            <w:tcW w:w="916" w:type="pct"/>
            <w:gridSpan w:val="2"/>
            <w:tcBorders>
              <w:top w:val="nil"/>
              <w:left w:val="nil"/>
              <w:bottom w:val="nil"/>
              <w:right w:val="nil"/>
            </w:tcBorders>
            <w:shd w:val="clear" w:color="auto" w:fill="auto"/>
            <w:noWrap/>
            <w:vAlign w:val="center"/>
            <w:hideMark/>
          </w:tcPr>
          <w:p w14:paraId="75B42F79" w14:textId="3D9B90FA"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Tpst1</w:t>
            </w:r>
          </w:p>
        </w:tc>
        <w:tc>
          <w:tcPr>
            <w:tcW w:w="1169" w:type="pct"/>
            <w:tcBorders>
              <w:top w:val="nil"/>
              <w:left w:val="nil"/>
              <w:bottom w:val="nil"/>
              <w:right w:val="nil"/>
            </w:tcBorders>
            <w:shd w:val="clear" w:color="auto" w:fill="auto"/>
            <w:noWrap/>
            <w:vAlign w:val="center"/>
            <w:hideMark/>
          </w:tcPr>
          <w:p w14:paraId="1C8E24C1" w14:textId="1E033696"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-3.161 </w:t>
            </w:r>
          </w:p>
        </w:tc>
        <w:tc>
          <w:tcPr>
            <w:tcW w:w="500" w:type="pct"/>
            <w:tcBorders>
              <w:top w:val="nil"/>
              <w:left w:val="nil"/>
              <w:bottom w:val="nil"/>
              <w:right w:val="nil"/>
            </w:tcBorders>
            <w:shd w:val="clear" w:color="auto" w:fill="auto"/>
            <w:noWrap/>
            <w:vAlign w:val="center"/>
            <w:hideMark/>
          </w:tcPr>
          <w:p w14:paraId="1424B3E4" w14:textId="68CB7D9C"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5F15F902" w14:textId="1FF912FC"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68FEB0FE" w14:textId="3459DACC"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65</w:t>
            </w:r>
            <w:r w:rsidRPr="002C3397">
              <w:rPr>
                <w:rFonts w:ascii="Arial" w:eastAsia="等线" w:hAnsi="Arial" w:cs="Arial"/>
                <w:noProof/>
                <w:color w:val="000000"/>
                <w:kern w:val="0"/>
                <w:szCs w:val="21"/>
              </w:rPr>
              <w:t>]</w:t>
            </w:r>
          </w:p>
        </w:tc>
      </w:tr>
      <w:tr w:rsidR="00916F45" w:rsidRPr="002C3397" w14:paraId="416622A6"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57700B73" w14:textId="68A629A8"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ENSMUSG00000022951</w:t>
            </w:r>
          </w:p>
        </w:tc>
        <w:tc>
          <w:tcPr>
            <w:tcW w:w="916" w:type="pct"/>
            <w:gridSpan w:val="2"/>
            <w:tcBorders>
              <w:top w:val="nil"/>
              <w:left w:val="nil"/>
              <w:bottom w:val="nil"/>
              <w:right w:val="nil"/>
            </w:tcBorders>
            <w:shd w:val="clear" w:color="auto" w:fill="auto"/>
            <w:noWrap/>
            <w:vAlign w:val="center"/>
            <w:hideMark/>
          </w:tcPr>
          <w:p w14:paraId="0074276D" w14:textId="0B3E9472"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Rcan1</w:t>
            </w:r>
          </w:p>
        </w:tc>
        <w:tc>
          <w:tcPr>
            <w:tcW w:w="1169" w:type="pct"/>
            <w:tcBorders>
              <w:top w:val="nil"/>
              <w:left w:val="nil"/>
              <w:bottom w:val="nil"/>
              <w:right w:val="nil"/>
            </w:tcBorders>
            <w:shd w:val="clear" w:color="auto" w:fill="auto"/>
            <w:noWrap/>
            <w:vAlign w:val="center"/>
            <w:hideMark/>
          </w:tcPr>
          <w:p w14:paraId="0319429D" w14:textId="53EE9A4F"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2.455 </w:t>
            </w:r>
          </w:p>
        </w:tc>
        <w:tc>
          <w:tcPr>
            <w:tcW w:w="500" w:type="pct"/>
            <w:tcBorders>
              <w:top w:val="nil"/>
              <w:left w:val="nil"/>
              <w:bottom w:val="nil"/>
              <w:right w:val="nil"/>
            </w:tcBorders>
            <w:shd w:val="clear" w:color="auto" w:fill="auto"/>
            <w:noWrap/>
            <w:vAlign w:val="center"/>
            <w:hideMark/>
          </w:tcPr>
          <w:p w14:paraId="7B1D357C" w14:textId="1416B938"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2A99C115" w14:textId="26332B65"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6791047D" w14:textId="1C55FA67"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66</w:t>
            </w:r>
            <w:r w:rsidRPr="002C3397">
              <w:rPr>
                <w:rFonts w:ascii="Arial" w:eastAsia="等线" w:hAnsi="Arial" w:cs="Arial"/>
                <w:noProof/>
                <w:color w:val="000000"/>
                <w:kern w:val="0"/>
                <w:szCs w:val="21"/>
              </w:rPr>
              <w:t>]</w:t>
            </w:r>
          </w:p>
        </w:tc>
      </w:tr>
      <w:tr w:rsidR="00916F45" w:rsidRPr="002C3397" w14:paraId="79EBAC96"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064C2216" w14:textId="72BFA32F"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lastRenderedPageBreak/>
              <w:t>ENSMUSG00000018217</w:t>
            </w:r>
          </w:p>
        </w:tc>
        <w:tc>
          <w:tcPr>
            <w:tcW w:w="916" w:type="pct"/>
            <w:gridSpan w:val="2"/>
            <w:tcBorders>
              <w:top w:val="nil"/>
              <w:left w:val="nil"/>
              <w:bottom w:val="nil"/>
              <w:right w:val="nil"/>
            </w:tcBorders>
            <w:shd w:val="clear" w:color="auto" w:fill="auto"/>
            <w:noWrap/>
            <w:vAlign w:val="center"/>
            <w:hideMark/>
          </w:tcPr>
          <w:p w14:paraId="31C4490F" w14:textId="18DE516D"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Pmp22</w:t>
            </w:r>
          </w:p>
        </w:tc>
        <w:tc>
          <w:tcPr>
            <w:tcW w:w="1169" w:type="pct"/>
            <w:tcBorders>
              <w:top w:val="nil"/>
              <w:left w:val="nil"/>
              <w:bottom w:val="nil"/>
              <w:right w:val="nil"/>
            </w:tcBorders>
            <w:shd w:val="clear" w:color="auto" w:fill="auto"/>
            <w:noWrap/>
            <w:vAlign w:val="center"/>
            <w:hideMark/>
          </w:tcPr>
          <w:p w14:paraId="52339E96" w14:textId="5D1B53C0"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2.216 </w:t>
            </w:r>
          </w:p>
        </w:tc>
        <w:tc>
          <w:tcPr>
            <w:tcW w:w="500" w:type="pct"/>
            <w:tcBorders>
              <w:top w:val="nil"/>
              <w:left w:val="nil"/>
              <w:bottom w:val="nil"/>
              <w:right w:val="nil"/>
            </w:tcBorders>
            <w:shd w:val="clear" w:color="auto" w:fill="auto"/>
            <w:noWrap/>
            <w:vAlign w:val="center"/>
            <w:hideMark/>
          </w:tcPr>
          <w:p w14:paraId="2157CE0A" w14:textId="5E93D29D"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40881E8A" w14:textId="74AA2C66"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410863DB" w14:textId="7B824C6B"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67</w:t>
            </w:r>
            <w:r w:rsidRPr="002C3397">
              <w:rPr>
                <w:rFonts w:ascii="Arial" w:eastAsia="等线" w:hAnsi="Arial" w:cs="Arial"/>
                <w:noProof/>
                <w:color w:val="000000"/>
                <w:kern w:val="0"/>
                <w:szCs w:val="21"/>
              </w:rPr>
              <w:t>]</w:t>
            </w:r>
          </w:p>
        </w:tc>
      </w:tr>
      <w:tr w:rsidR="00916F45" w:rsidRPr="002C3397" w14:paraId="0B825D22"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6148E323" w14:textId="72075578" w:rsidR="00916F45" w:rsidRPr="002C3397" w:rsidRDefault="00044928" w:rsidP="00916F45">
            <w:pPr>
              <w:widowControl/>
              <w:jc w:val="left"/>
              <w:rPr>
                <w:rFonts w:ascii="Arial" w:eastAsia="等线" w:hAnsi="Arial" w:cs="Arial"/>
                <w:color w:val="000000"/>
                <w:szCs w:val="21"/>
              </w:rPr>
            </w:pPr>
            <w:r w:rsidRPr="002C3397">
              <w:rPr>
                <w:rFonts w:ascii="Arial" w:eastAsia="等线" w:hAnsi="Arial" w:cs="Arial"/>
                <w:color w:val="000000"/>
                <w:szCs w:val="21"/>
              </w:rPr>
              <w:t>ENSMUSG00000005124</w:t>
            </w:r>
          </w:p>
        </w:tc>
        <w:tc>
          <w:tcPr>
            <w:tcW w:w="916" w:type="pct"/>
            <w:gridSpan w:val="2"/>
            <w:tcBorders>
              <w:top w:val="nil"/>
              <w:left w:val="nil"/>
              <w:bottom w:val="nil"/>
              <w:right w:val="nil"/>
            </w:tcBorders>
            <w:shd w:val="clear" w:color="auto" w:fill="auto"/>
            <w:noWrap/>
            <w:vAlign w:val="center"/>
            <w:hideMark/>
          </w:tcPr>
          <w:p w14:paraId="443E9E3D" w14:textId="1788F3AE" w:rsidR="00916F45" w:rsidRPr="002C3397" w:rsidRDefault="00FB190D" w:rsidP="00FB190D">
            <w:pPr>
              <w:widowControl/>
              <w:jc w:val="center"/>
              <w:rPr>
                <w:rFonts w:ascii="Arial" w:eastAsia="等线" w:hAnsi="Arial" w:cs="Arial"/>
                <w:i/>
                <w:iCs/>
                <w:color w:val="FF0000"/>
                <w:szCs w:val="21"/>
              </w:rPr>
            </w:pPr>
            <w:r w:rsidRPr="002C3397">
              <w:rPr>
                <w:rFonts w:ascii="Arial" w:eastAsia="等线" w:hAnsi="Arial" w:cs="Arial"/>
                <w:i/>
                <w:iCs/>
                <w:color w:val="000000"/>
                <w:szCs w:val="21"/>
              </w:rPr>
              <w:t>Wisp1</w:t>
            </w:r>
          </w:p>
        </w:tc>
        <w:tc>
          <w:tcPr>
            <w:tcW w:w="1169" w:type="pct"/>
            <w:tcBorders>
              <w:top w:val="nil"/>
              <w:left w:val="nil"/>
              <w:bottom w:val="nil"/>
              <w:right w:val="nil"/>
            </w:tcBorders>
            <w:shd w:val="clear" w:color="auto" w:fill="auto"/>
            <w:noWrap/>
            <w:vAlign w:val="center"/>
            <w:hideMark/>
          </w:tcPr>
          <w:p w14:paraId="314972E9" w14:textId="4A6D82A8" w:rsidR="00916F45" w:rsidRPr="002C3397" w:rsidRDefault="00044928" w:rsidP="00044928">
            <w:pPr>
              <w:widowControl/>
              <w:jc w:val="center"/>
              <w:rPr>
                <w:rFonts w:ascii="Arial" w:eastAsia="等线" w:hAnsi="Arial" w:cs="Arial"/>
                <w:color w:val="000000"/>
                <w:szCs w:val="21"/>
              </w:rPr>
            </w:pPr>
            <w:r w:rsidRPr="002C3397">
              <w:rPr>
                <w:rFonts w:ascii="Arial" w:eastAsia="等线" w:hAnsi="Arial" w:cs="Arial"/>
                <w:color w:val="000000"/>
                <w:szCs w:val="21"/>
              </w:rPr>
              <w:t>4.678</w:t>
            </w:r>
            <w:r w:rsidR="00916F45" w:rsidRPr="002C3397">
              <w:rPr>
                <w:rFonts w:ascii="Arial" w:eastAsia="等线" w:hAnsi="Arial" w:cs="Arial"/>
                <w:color w:val="000000"/>
                <w:szCs w:val="21"/>
              </w:rPr>
              <w:t xml:space="preserve"> </w:t>
            </w:r>
          </w:p>
        </w:tc>
        <w:tc>
          <w:tcPr>
            <w:tcW w:w="500" w:type="pct"/>
            <w:tcBorders>
              <w:top w:val="nil"/>
              <w:left w:val="nil"/>
              <w:bottom w:val="nil"/>
              <w:right w:val="nil"/>
            </w:tcBorders>
            <w:shd w:val="clear" w:color="auto" w:fill="auto"/>
            <w:noWrap/>
            <w:vAlign w:val="center"/>
            <w:hideMark/>
          </w:tcPr>
          <w:p w14:paraId="69CA2BEF" w14:textId="5A225C6F"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0C04611F" w14:textId="1E398C5C"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1F0E87F4" w14:textId="57ED8CB6"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68</w:t>
            </w:r>
            <w:r w:rsidRPr="002C3397">
              <w:rPr>
                <w:rFonts w:ascii="Arial" w:eastAsia="等线" w:hAnsi="Arial" w:cs="Arial"/>
                <w:noProof/>
                <w:color w:val="000000"/>
                <w:kern w:val="0"/>
                <w:szCs w:val="21"/>
              </w:rPr>
              <w:t>]</w:t>
            </w:r>
          </w:p>
        </w:tc>
      </w:tr>
      <w:tr w:rsidR="00916F45" w:rsidRPr="002C3397" w14:paraId="337E3D7D"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233B8B63" w14:textId="11141AF3"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ENSMUSG00000024399</w:t>
            </w:r>
          </w:p>
        </w:tc>
        <w:tc>
          <w:tcPr>
            <w:tcW w:w="916" w:type="pct"/>
            <w:gridSpan w:val="2"/>
            <w:tcBorders>
              <w:top w:val="nil"/>
              <w:left w:val="nil"/>
              <w:bottom w:val="nil"/>
              <w:right w:val="nil"/>
            </w:tcBorders>
            <w:shd w:val="clear" w:color="auto" w:fill="auto"/>
            <w:noWrap/>
            <w:vAlign w:val="center"/>
            <w:hideMark/>
          </w:tcPr>
          <w:p w14:paraId="3E5F2AFC" w14:textId="6D63641C"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Ltb</w:t>
            </w:r>
          </w:p>
        </w:tc>
        <w:tc>
          <w:tcPr>
            <w:tcW w:w="1169" w:type="pct"/>
            <w:tcBorders>
              <w:top w:val="nil"/>
              <w:left w:val="nil"/>
              <w:bottom w:val="nil"/>
              <w:right w:val="nil"/>
            </w:tcBorders>
            <w:shd w:val="clear" w:color="auto" w:fill="auto"/>
            <w:noWrap/>
            <w:vAlign w:val="center"/>
            <w:hideMark/>
          </w:tcPr>
          <w:p w14:paraId="6400CD1A" w14:textId="5A8A8650"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-3.237 </w:t>
            </w:r>
          </w:p>
        </w:tc>
        <w:tc>
          <w:tcPr>
            <w:tcW w:w="500" w:type="pct"/>
            <w:tcBorders>
              <w:top w:val="nil"/>
              <w:left w:val="nil"/>
              <w:bottom w:val="nil"/>
              <w:right w:val="nil"/>
            </w:tcBorders>
            <w:shd w:val="clear" w:color="auto" w:fill="auto"/>
            <w:noWrap/>
            <w:vAlign w:val="center"/>
            <w:hideMark/>
          </w:tcPr>
          <w:p w14:paraId="0DC94A32" w14:textId="7D5ECD66"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7E301B47" w14:textId="06DB9113"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16937F10" w14:textId="592DF61F"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69</w:t>
            </w:r>
            <w:r w:rsidRPr="002C3397">
              <w:rPr>
                <w:rFonts w:ascii="Arial" w:eastAsia="等线" w:hAnsi="Arial" w:cs="Arial"/>
                <w:noProof/>
                <w:color w:val="000000"/>
                <w:kern w:val="0"/>
                <w:szCs w:val="21"/>
              </w:rPr>
              <w:t>]</w:t>
            </w:r>
          </w:p>
        </w:tc>
      </w:tr>
      <w:tr w:rsidR="00916F45" w:rsidRPr="002C3397" w14:paraId="37E683FD"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0D09B27D" w14:textId="6AF524A8"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ENSMUSG00000023832</w:t>
            </w:r>
          </w:p>
        </w:tc>
        <w:tc>
          <w:tcPr>
            <w:tcW w:w="916" w:type="pct"/>
            <w:gridSpan w:val="2"/>
            <w:tcBorders>
              <w:top w:val="nil"/>
              <w:left w:val="nil"/>
              <w:bottom w:val="nil"/>
              <w:right w:val="nil"/>
            </w:tcBorders>
            <w:shd w:val="clear" w:color="auto" w:fill="auto"/>
            <w:noWrap/>
            <w:vAlign w:val="center"/>
            <w:hideMark/>
          </w:tcPr>
          <w:p w14:paraId="4811233A" w14:textId="72A16422"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Acat2</w:t>
            </w:r>
          </w:p>
        </w:tc>
        <w:tc>
          <w:tcPr>
            <w:tcW w:w="1169" w:type="pct"/>
            <w:tcBorders>
              <w:top w:val="nil"/>
              <w:left w:val="nil"/>
              <w:bottom w:val="nil"/>
              <w:right w:val="nil"/>
            </w:tcBorders>
            <w:shd w:val="clear" w:color="auto" w:fill="auto"/>
            <w:noWrap/>
            <w:vAlign w:val="center"/>
            <w:hideMark/>
          </w:tcPr>
          <w:p w14:paraId="54813C4A" w14:textId="61C80CD0"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-3.773 </w:t>
            </w:r>
          </w:p>
        </w:tc>
        <w:tc>
          <w:tcPr>
            <w:tcW w:w="500" w:type="pct"/>
            <w:tcBorders>
              <w:top w:val="nil"/>
              <w:left w:val="nil"/>
              <w:bottom w:val="nil"/>
              <w:right w:val="nil"/>
            </w:tcBorders>
            <w:shd w:val="clear" w:color="auto" w:fill="auto"/>
            <w:noWrap/>
            <w:vAlign w:val="center"/>
            <w:hideMark/>
          </w:tcPr>
          <w:p w14:paraId="7CF2C303" w14:textId="72576974"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08304C05" w14:textId="19A01D24"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3FE10E18" w14:textId="50C5717D"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70</w:t>
            </w:r>
            <w:r w:rsidRPr="002C3397">
              <w:rPr>
                <w:rFonts w:ascii="Arial" w:eastAsia="等线" w:hAnsi="Arial" w:cs="Arial"/>
                <w:noProof/>
                <w:color w:val="000000"/>
                <w:kern w:val="0"/>
                <w:szCs w:val="21"/>
              </w:rPr>
              <w:t>]</w:t>
            </w:r>
          </w:p>
        </w:tc>
      </w:tr>
      <w:tr w:rsidR="00916F45" w:rsidRPr="002C3397" w14:paraId="617A89F0"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21624F83" w14:textId="18F42449"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ENSMUSG00000026675</w:t>
            </w:r>
          </w:p>
        </w:tc>
        <w:tc>
          <w:tcPr>
            <w:tcW w:w="916" w:type="pct"/>
            <w:gridSpan w:val="2"/>
            <w:tcBorders>
              <w:top w:val="nil"/>
              <w:left w:val="nil"/>
              <w:bottom w:val="nil"/>
              <w:right w:val="nil"/>
            </w:tcBorders>
            <w:shd w:val="clear" w:color="auto" w:fill="auto"/>
            <w:noWrap/>
            <w:vAlign w:val="center"/>
            <w:hideMark/>
          </w:tcPr>
          <w:p w14:paraId="53911CD2" w14:textId="2792DF8F"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Hsd17b7</w:t>
            </w:r>
          </w:p>
        </w:tc>
        <w:tc>
          <w:tcPr>
            <w:tcW w:w="1169" w:type="pct"/>
            <w:tcBorders>
              <w:top w:val="nil"/>
              <w:left w:val="nil"/>
              <w:bottom w:val="nil"/>
              <w:right w:val="nil"/>
            </w:tcBorders>
            <w:shd w:val="clear" w:color="auto" w:fill="auto"/>
            <w:noWrap/>
            <w:vAlign w:val="center"/>
            <w:hideMark/>
          </w:tcPr>
          <w:p w14:paraId="010B8207" w14:textId="6E622175"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-2.593 </w:t>
            </w:r>
          </w:p>
        </w:tc>
        <w:tc>
          <w:tcPr>
            <w:tcW w:w="500" w:type="pct"/>
            <w:tcBorders>
              <w:top w:val="nil"/>
              <w:left w:val="nil"/>
              <w:bottom w:val="nil"/>
              <w:right w:val="nil"/>
            </w:tcBorders>
            <w:shd w:val="clear" w:color="auto" w:fill="auto"/>
            <w:noWrap/>
            <w:vAlign w:val="center"/>
            <w:hideMark/>
          </w:tcPr>
          <w:p w14:paraId="318802F0" w14:textId="39AD245E"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49E57419" w14:textId="69AD8D17"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02A3D04B" w14:textId="6F3DF440"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41</w:t>
            </w:r>
            <w:r w:rsidRPr="002C3397">
              <w:rPr>
                <w:rFonts w:ascii="Arial" w:eastAsia="等线" w:hAnsi="Arial" w:cs="Arial"/>
                <w:noProof/>
                <w:color w:val="000000"/>
                <w:kern w:val="0"/>
                <w:szCs w:val="21"/>
              </w:rPr>
              <w:t>]</w:t>
            </w:r>
          </w:p>
        </w:tc>
      </w:tr>
      <w:tr w:rsidR="00916F45" w:rsidRPr="002C3397" w14:paraId="0DF8C5CF"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350A9AFA" w14:textId="2E72BDFA"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ENSMUSG00000058258</w:t>
            </w:r>
          </w:p>
        </w:tc>
        <w:tc>
          <w:tcPr>
            <w:tcW w:w="916" w:type="pct"/>
            <w:gridSpan w:val="2"/>
            <w:tcBorders>
              <w:top w:val="nil"/>
              <w:left w:val="nil"/>
              <w:bottom w:val="nil"/>
              <w:right w:val="nil"/>
            </w:tcBorders>
            <w:shd w:val="clear" w:color="auto" w:fill="auto"/>
            <w:noWrap/>
            <w:vAlign w:val="center"/>
            <w:hideMark/>
          </w:tcPr>
          <w:p w14:paraId="72E82AAE" w14:textId="21C4DE69"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Idi1</w:t>
            </w:r>
          </w:p>
        </w:tc>
        <w:tc>
          <w:tcPr>
            <w:tcW w:w="1169" w:type="pct"/>
            <w:tcBorders>
              <w:top w:val="nil"/>
              <w:left w:val="nil"/>
              <w:bottom w:val="nil"/>
              <w:right w:val="nil"/>
            </w:tcBorders>
            <w:shd w:val="clear" w:color="auto" w:fill="auto"/>
            <w:noWrap/>
            <w:vAlign w:val="center"/>
            <w:hideMark/>
          </w:tcPr>
          <w:p w14:paraId="4FBA4873" w14:textId="2B6B31EE"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-3.965 </w:t>
            </w:r>
          </w:p>
        </w:tc>
        <w:tc>
          <w:tcPr>
            <w:tcW w:w="500" w:type="pct"/>
            <w:tcBorders>
              <w:top w:val="nil"/>
              <w:left w:val="nil"/>
              <w:bottom w:val="nil"/>
              <w:right w:val="nil"/>
            </w:tcBorders>
            <w:shd w:val="clear" w:color="auto" w:fill="auto"/>
            <w:noWrap/>
            <w:vAlign w:val="center"/>
            <w:hideMark/>
          </w:tcPr>
          <w:p w14:paraId="387A4BB4" w14:textId="7400BE2F"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46B70FC2" w14:textId="4AC3463C"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77E4575F" w14:textId="2C7220F0"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71</w:t>
            </w:r>
            <w:r w:rsidRPr="002C3397">
              <w:rPr>
                <w:rFonts w:ascii="Arial" w:eastAsia="等线" w:hAnsi="Arial" w:cs="Arial"/>
                <w:noProof/>
                <w:color w:val="000000"/>
                <w:kern w:val="0"/>
                <w:szCs w:val="21"/>
              </w:rPr>
              <w:t>]</w:t>
            </w:r>
          </w:p>
        </w:tc>
      </w:tr>
      <w:tr w:rsidR="00916F45" w:rsidRPr="002C3397" w14:paraId="60CBC7AA"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1BC95810" w14:textId="46F2FBEA"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ENSMUSG00000001123</w:t>
            </w:r>
          </w:p>
        </w:tc>
        <w:tc>
          <w:tcPr>
            <w:tcW w:w="916" w:type="pct"/>
            <w:gridSpan w:val="2"/>
            <w:tcBorders>
              <w:top w:val="nil"/>
              <w:left w:val="nil"/>
              <w:bottom w:val="nil"/>
              <w:right w:val="nil"/>
            </w:tcBorders>
            <w:shd w:val="clear" w:color="auto" w:fill="auto"/>
            <w:noWrap/>
            <w:vAlign w:val="center"/>
            <w:hideMark/>
          </w:tcPr>
          <w:p w14:paraId="16442AB1" w14:textId="7547CCEC"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Lgals9</w:t>
            </w:r>
          </w:p>
        </w:tc>
        <w:tc>
          <w:tcPr>
            <w:tcW w:w="1169" w:type="pct"/>
            <w:tcBorders>
              <w:top w:val="nil"/>
              <w:left w:val="nil"/>
              <w:bottom w:val="nil"/>
              <w:right w:val="nil"/>
            </w:tcBorders>
            <w:shd w:val="clear" w:color="auto" w:fill="auto"/>
            <w:noWrap/>
            <w:vAlign w:val="center"/>
            <w:hideMark/>
          </w:tcPr>
          <w:p w14:paraId="502689B6" w14:textId="7588B28D"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-5.905 </w:t>
            </w:r>
          </w:p>
        </w:tc>
        <w:tc>
          <w:tcPr>
            <w:tcW w:w="500" w:type="pct"/>
            <w:tcBorders>
              <w:top w:val="nil"/>
              <w:left w:val="nil"/>
              <w:bottom w:val="nil"/>
              <w:right w:val="nil"/>
            </w:tcBorders>
            <w:shd w:val="clear" w:color="auto" w:fill="auto"/>
            <w:noWrap/>
            <w:vAlign w:val="center"/>
            <w:hideMark/>
          </w:tcPr>
          <w:p w14:paraId="717DFAE8" w14:textId="0786192D"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090F96C9" w14:textId="6356C31B"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36186447" w14:textId="7A8A39C0"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51</w:t>
            </w:r>
            <w:r w:rsidRPr="002C3397">
              <w:rPr>
                <w:rFonts w:ascii="Arial" w:eastAsia="等线" w:hAnsi="Arial" w:cs="Arial"/>
                <w:noProof/>
                <w:color w:val="000000"/>
                <w:kern w:val="0"/>
                <w:szCs w:val="21"/>
              </w:rPr>
              <w:t>]</w:t>
            </w:r>
          </w:p>
        </w:tc>
      </w:tr>
      <w:tr w:rsidR="00916F45" w:rsidRPr="002C3397" w14:paraId="743766CA"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04B7B6BA" w14:textId="01E61E39"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ENSMUSG00000041220</w:t>
            </w:r>
          </w:p>
        </w:tc>
        <w:tc>
          <w:tcPr>
            <w:tcW w:w="916" w:type="pct"/>
            <w:gridSpan w:val="2"/>
            <w:tcBorders>
              <w:top w:val="nil"/>
              <w:left w:val="nil"/>
              <w:bottom w:val="nil"/>
              <w:right w:val="nil"/>
            </w:tcBorders>
            <w:shd w:val="clear" w:color="auto" w:fill="auto"/>
            <w:noWrap/>
            <w:vAlign w:val="center"/>
            <w:hideMark/>
          </w:tcPr>
          <w:p w14:paraId="16E9BB9D" w14:textId="5CFE0ECF"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Elovl6</w:t>
            </w:r>
          </w:p>
        </w:tc>
        <w:tc>
          <w:tcPr>
            <w:tcW w:w="1169" w:type="pct"/>
            <w:tcBorders>
              <w:top w:val="nil"/>
              <w:left w:val="nil"/>
              <w:bottom w:val="nil"/>
              <w:right w:val="nil"/>
            </w:tcBorders>
            <w:shd w:val="clear" w:color="auto" w:fill="auto"/>
            <w:noWrap/>
            <w:vAlign w:val="center"/>
            <w:hideMark/>
          </w:tcPr>
          <w:p w14:paraId="1FCF38CC" w14:textId="02C4D3DC"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-3.663 </w:t>
            </w:r>
          </w:p>
        </w:tc>
        <w:tc>
          <w:tcPr>
            <w:tcW w:w="500" w:type="pct"/>
            <w:tcBorders>
              <w:top w:val="nil"/>
              <w:left w:val="nil"/>
              <w:bottom w:val="nil"/>
              <w:right w:val="nil"/>
            </w:tcBorders>
            <w:shd w:val="clear" w:color="auto" w:fill="auto"/>
            <w:noWrap/>
            <w:vAlign w:val="center"/>
            <w:hideMark/>
          </w:tcPr>
          <w:p w14:paraId="6BC2BDE0" w14:textId="2CFE125E"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28FB3D6D" w14:textId="44677CAF"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49704C99" w14:textId="701B2EB3"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72</w:t>
            </w:r>
            <w:r w:rsidRPr="002C3397">
              <w:rPr>
                <w:rFonts w:ascii="Arial" w:eastAsia="等线" w:hAnsi="Arial" w:cs="Arial"/>
                <w:noProof/>
                <w:color w:val="000000"/>
                <w:kern w:val="0"/>
                <w:szCs w:val="21"/>
              </w:rPr>
              <w:t>]</w:t>
            </w:r>
          </w:p>
        </w:tc>
      </w:tr>
      <w:tr w:rsidR="00916F45" w:rsidRPr="002C3397" w14:paraId="6497BB9A"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0C6F5217" w14:textId="62BC7065"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ENSMUSG00000010358</w:t>
            </w:r>
          </w:p>
        </w:tc>
        <w:tc>
          <w:tcPr>
            <w:tcW w:w="916" w:type="pct"/>
            <w:gridSpan w:val="2"/>
            <w:tcBorders>
              <w:top w:val="nil"/>
              <w:left w:val="nil"/>
              <w:bottom w:val="nil"/>
              <w:right w:val="nil"/>
            </w:tcBorders>
            <w:shd w:val="clear" w:color="auto" w:fill="auto"/>
            <w:noWrap/>
            <w:vAlign w:val="center"/>
            <w:hideMark/>
          </w:tcPr>
          <w:p w14:paraId="25ACF5D4" w14:textId="55B89121"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Ifi35</w:t>
            </w:r>
          </w:p>
        </w:tc>
        <w:tc>
          <w:tcPr>
            <w:tcW w:w="1169" w:type="pct"/>
            <w:tcBorders>
              <w:top w:val="nil"/>
              <w:left w:val="nil"/>
              <w:bottom w:val="nil"/>
              <w:right w:val="nil"/>
            </w:tcBorders>
            <w:shd w:val="clear" w:color="auto" w:fill="auto"/>
            <w:noWrap/>
            <w:vAlign w:val="center"/>
            <w:hideMark/>
          </w:tcPr>
          <w:p w14:paraId="775F85B4" w14:textId="57CFCB40"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-3.776 </w:t>
            </w:r>
          </w:p>
        </w:tc>
        <w:tc>
          <w:tcPr>
            <w:tcW w:w="500" w:type="pct"/>
            <w:tcBorders>
              <w:top w:val="nil"/>
              <w:left w:val="nil"/>
              <w:bottom w:val="nil"/>
              <w:right w:val="nil"/>
            </w:tcBorders>
            <w:shd w:val="clear" w:color="auto" w:fill="auto"/>
            <w:noWrap/>
            <w:vAlign w:val="center"/>
            <w:hideMark/>
          </w:tcPr>
          <w:p w14:paraId="2699335E" w14:textId="1A330F4D"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5E54630E" w14:textId="03E71DA4"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6668FBFB" w14:textId="6EEBF633"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73</w:t>
            </w:r>
            <w:r w:rsidRPr="002C3397">
              <w:rPr>
                <w:rFonts w:ascii="Arial" w:eastAsia="等线" w:hAnsi="Arial" w:cs="Arial"/>
                <w:noProof/>
                <w:color w:val="000000"/>
                <w:kern w:val="0"/>
                <w:szCs w:val="21"/>
              </w:rPr>
              <w:t>]</w:t>
            </w:r>
          </w:p>
        </w:tc>
      </w:tr>
      <w:tr w:rsidR="00916F45" w:rsidRPr="002C3397" w14:paraId="513F2FC0"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2C04E09B" w14:textId="517E97BA"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ENSMUSG00000031349</w:t>
            </w:r>
          </w:p>
        </w:tc>
        <w:tc>
          <w:tcPr>
            <w:tcW w:w="916" w:type="pct"/>
            <w:gridSpan w:val="2"/>
            <w:tcBorders>
              <w:top w:val="nil"/>
              <w:left w:val="nil"/>
              <w:bottom w:val="nil"/>
              <w:right w:val="nil"/>
            </w:tcBorders>
            <w:shd w:val="clear" w:color="auto" w:fill="auto"/>
            <w:noWrap/>
            <w:vAlign w:val="center"/>
            <w:hideMark/>
          </w:tcPr>
          <w:p w14:paraId="52297618" w14:textId="1F880E75"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Nsdhl</w:t>
            </w:r>
          </w:p>
        </w:tc>
        <w:tc>
          <w:tcPr>
            <w:tcW w:w="1169" w:type="pct"/>
            <w:tcBorders>
              <w:top w:val="nil"/>
              <w:left w:val="nil"/>
              <w:bottom w:val="nil"/>
              <w:right w:val="nil"/>
            </w:tcBorders>
            <w:shd w:val="clear" w:color="auto" w:fill="auto"/>
            <w:noWrap/>
            <w:vAlign w:val="center"/>
            <w:hideMark/>
          </w:tcPr>
          <w:p w14:paraId="1BA4641E" w14:textId="19385A6D"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-3.429 </w:t>
            </w:r>
          </w:p>
        </w:tc>
        <w:tc>
          <w:tcPr>
            <w:tcW w:w="500" w:type="pct"/>
            <w:tcBorders>
              <w:top w:val="nil"/>
              <w:left w:val="nil"/>
              <w:bottom w:val="nil"/>
              <w:right w:val="nil"/>
            </w:tcBorders>
            <w:shd w:val="clear" w:color="auto" w:fill="auto"/>
            <w:noWrap/>
            <w:vAlign w:val="center"/>
            <w:hideMark/>
          </w:tcPr>
          <w:p w14:paraId="0CA18DDF" w14:textId="553D500F"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2CCC559E" w14:textId="11664C10"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35FD4B51" w14:textId="6BC3FF5F"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74</w:t>
            </w:r>
            <w:r w:rsidRPr="002C3397">
              <w:rPr>
                <w:rFonts w:ascii="Arial" w:eastAsia="等线" w:hAnsi="Arial" w:cs="Arial"/>
                <w:noProof/>
                <w:color w:val="000000"/>
                <w:kern w:val="0"/>
                <w:szCs w:val="21"/>
              </w:rPr>
              <w:t>]</w:t>
            </w:r>
          </w:p>
        </w:tc>
      </w:tr>
      <w:tr w:rsidR="00916F45" w:rsidRPr="002C3397" w14:paraId="6EC051BA"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0017C3FA" w14:textId="11ABFE91"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ENSMUSG00000039853</w:t>
            </w:r>
          </w:p>
        </w:tc>
        <w:tc>
          <w:tcPr>
            <w:tcW w:w="916" w:type="pct"/>
            <w:gridSpan w:val="2"/>
            <w:tcBorders>
              <w:top w:val="nil"/>
              <w:left w:val="nil"/>
              <w:bottom w:val="nil"/>
              <w:right w:val="nil"/>
            </w:tcBorders>
            <w:shd w:val="clear" w:color="auto" w:fill="auto"/>
            <w:noWrap/>
            <w:vAlign w:val="center"/>
            <w:hideMark/>
          </w:tcPr>
          <w:p w14:paraId="2AC5FE86" w14:textId="6EA73747"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Trim14</w:t>
            </w:r>
          </w:p>
        </w:tc>
        <w:tc>
          <w:tcPr>
            <w:tcW w:w="1169" w:type="pct"/>
            <w:tcBorders>
              <w:top w:val="nil"/>
              <w:left w:val="nil"/>
              <w:bottom w:val="nil"/>
              <w:right w:val="nil"/>
            </w:tcBorders>
            <w:shd w:val="clear" w:color="auto" w:fill="auto"/>
            <w:noWrap/>
            <w:vAlign w:val="center"/>
            <w:hideMark/>
          </w:tcPr>
          <w:p w14:paraId="08C23712" w14:textId="51E6598F"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-3.127 </w:t>
            </w:r>
          </w:p>
        </w:tc>
        <w:tc>
          <w:tcPr>
            <w:tcW w:w="500" w:type="pct"/>
            <w:tcBorders>
              <w:top w:val="nil"/>
              <w:left w:val="nil"/>
              <w:bottom w:val="nil"/>
              <w:right w:val="nil"/>
            </w:tcBorders>
            <w:shd w:val="clear" w:color="auto" w:fill="auto"/>
            <w:noWrap/>
            <w:vAlign w:val="center"/>
            <w:hideMark/>
          </w:tcPr>
          <w:p w14:paraId="1DC76D3B" w14:textId="53A54CF0"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06B6330C" w14:textId="2843AE38"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16D11932" w14:textId="2BAD64B7"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75</w:t>
            </w:r>
            <w:r w:rsidRPr="002C3397">
              <w:rPr>
                <w:rFonts w:ascii="Arial" w:eastAsia="等线" w:hAnsi="Arial" w:cs="Arial"/>
                <w:noProof/>
                <w:color w:val="000000"/>
                <w:kern w:val="0"/>
                <w:szCs w:val="21"/>
              </w:rPr>
              <w:t>]</w:t>
            </w:r>
          </w:p>
        </w:tc>
      </w:tr>
      <w:tr w:rsidR="00916F45" w:rsidRPr="002C3397" w14:paraId="515F134A"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630C401C" w14:textId="7F3A2503"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ENSMUSG00000026104</w:t>
            </w:r>
          </w:p>
        </w:tc>
        <w:tc>
          <w:tcPr>
            <w:tcW w:w="916" w:type="pct"/>
            <w:gridSpan w:val="2"/>
            <w:tcBorders>
              <w:top w:val="nil"/>
              <w:left w:val="nil"/>
              <w:bottom w:val="nil"/>
              <w:right w:val="nil"/>
            </w:tcBorders>
            <w:shd w:val="clear" w:color="auto" w:fill="auto"/>
            <w:noWrap/>
            <w:vAlign w:val="center"/>
            <w:hideMark/>
          </w:tcPr>
          <w:p w14:paraId="68044F9B" w14:textId="5855E1D3"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Stat1</w:t>
            </w:r>
          </w:p>
        </w:tc>
        <w:tc>
          <w:tcPr>
            <w:tcW w:w="1169" w:type="pct"/>
            <w:tcBorders>
              <w:top w:val="nil"/>
              <w:left w:val="nil"/>
              <w:bottom w:val="nil"/>
              <w:right w:val="nil"/>
            </w:tcBorders>
            <w:shd w:val="clear" w:color="auto" w:fill="auto"/>
            <w:noWrap/>
            <w:vAlign w:val="center"/>
            <w:hideMark/>
          </w:tcPr>
          <w:p w14:paraId="086EDA8F" w14:textId="3973487A"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-4.464 </w:t>
            </w:r>
          </w:p>
        </w:tc>
        <w:tc>
          <w:tcPr>
            <w:tcW w:w="500" w:type="pct"/>
            <w:tcBorders>
              <w:top w:val="nil"/>
              <w:left w:val="nil"/>
              <w:bottom w:val="nil"/>
              <w:right w:val="nil"/>
            </w:tcBorders>
            <w:shd w:val="clear" w:color="auto" w:fill="auto"/>
            <w:noWrap/>
            <w:vAlign w:val="center"/>
            <w:hideMark/>
          </w:tcPr>
          <w:p w14:paraId="1FC34CFC" w14:textId="010BFBBF"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226D1965" w14:textId="0C447F41"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4E73F3DC" w14:textId="0DDBCE47"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76</w:t>
            </w:r>
            <w:r w:rsidRPr="002C3397">
              <w:rPr>
                <w:rFonts w:ascii="Arial" w:eastAsia="等线" w:hAnsi="Arial" w:cs="Arial"/>
                <w:noProof/>
                <w:color w:val="000000"/>
                <w:kern w:val="0"/>
                <w:szCs w:val="21"/>
              </w:rPr>
              <w:t xml:space="preserve">, </w:t>
            </w:r>
            <w:r w:rsidR="00F05D34" w:rsidRPr="002C3397">
              <w:rPr>
                <w:rFonts w:ascii="Arial" w:eastAsia="等线" w:hAnsi="Arial" w:cs="Arial"/>
                <w:noProof/>
                <w:color w:val="000000"/>
                <w:kern w:val="0"/>
                <w:szCs w:val="21"/>
              </w:rPr>
              <w:t>77</w:t>
            </w:r>
            <w:r w:rsidRPr="002C3397">
              <w:rPr>
                <w:rFonts w:ascii="Arial" w:eastAsia="等线" w:hAnsi="Arial" w:cs="Arial"/>
                <w:noProof/>
                <w:color w:val="000000"/>
                <w:kern w:val="0"/>
                <w:szCs w:val="21"/>
              </w:rPr>
              <w:t>]</w:t>
            </w:r>
          </w:p>
        </w:tc>
      </w:tr>
      <w:tr w:rsidR="00916F45" w:rsidRPr="002C3397" w14:paraId="14691305"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4773EBF4" w14:textId="3AF56EA0"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ENSMUSG00000043421</w:t>
            </w:r>
          </w:p>
        </w:tc>
        <w:tc>
          <w:tcPr>
            <w:tcW w:w="916" w:type="pct"/>
            <w:gridSpan w:val="2"/>
            <w:tcBorders>
              <w:top w:val="nil"/>
              <w:left w:val="nil"/>
              <w:bottom w:val="nil"/>
              <w:right w:val="nil"/>
            </w:tcBorders>
            <w:shd w:val="clear" w:color="auto" w:fill="auto"/>
            <w:noWrap/>
            <w:vAlign w:val="center"/>
            <w:hideMark/>
          </w:tcPr>
          <w:p w14:paraId="452FC2F6" w14:textId="7ABD1DB4"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Hilpda</w:t>
            </w:r>
          </w:p>
        </w:tc>
        <w:tc>
          <w:tcPr>
            <w:tcW w:w="1169" w:type="pct"/>
            <w:tcBorders>
              <w:top w:val="nil"/>
              <w:left w:val="nil"/>
              <w:bottom w:val="nil"/>
              <w:right w:val="nil"/>
            </w:tcBorders>
            <w:shd w:val="clear" w:color="auto" w:fill="auto"/>
            <w:noWrap/>
            <w:vAlign w:val="center"/>
            <w:hideMark/>
          </w:tcPr>
          <w:p w14:paraId="5457309B" w14:textId="09557E05"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3.491 </w:t>
            </w:r>
          </w:p>
        </w:tc>
        <w:tc>
          <w:tcPr>
            <w:tcW w:w="500" w:type="pct"/>
            <w:tcBorders>
              <w:top w:val="nil"/>
              <w:left w:val="nil"/>
              <w:bottom w:val="nil"/>
              <w:right w:val="nil"/>
            </w:tcBorders>
            <w:shd w:val="clear" w:color="auto" w:fill="auto"/>
            <w:noWrap/>
            <w:vAlign w:val="center"/>
            <w:hideMark/>
          </w:tcPr>
          <w:p w14:paraId="2FF090F6" w14:textId="60DCB34E"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3AF6015D" w14:textId="2658A9F0"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0A9F1804" w14:textId="5A609BA2"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78</w:t>
            </w:r>
            <w:r w:rsidRPr="002C3397">
              <w:rPr>
                <w:rFonts w:ascii="Arial" w:eastAsia="等线" w:hAnsi="Arial" w:cs="Arial"/>
                <w:noProof/>
                <w:color w:val="000000"/>
                <w:kern w:val="0"/>
                <w:szCs w:val="21"/>
              </w:rPr>
              <w:t>]</w:t>
            </w:r>
          </w:p>
        </w:tc>
      </w:tr>
      <w:tr w:rsidR="00916F45" w:rsidRPr="002C3397" w14:paraId="11DC6E5E"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1E0B57D2" w14:textId="5FA4F992"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ENSMUSG00000052336</w:t>
            </w:r>
          </w:p>
        </w:tc>
        <w:tc>
          <w:tcPr>
            <w:tcW w:w="916" w:type="pct"/>
            <w:gridSpan w:val="2"/>
            <w:tcBorders>
              <w:top w:val="nil"/>
              <w:left w:val="nil"/>
              <w:bottom w:val="nil"/>
              <w:right w:val="nil"/>
            </w:tcBorders>
            <w:shd w:val="clear" w:color="auto" w:fill="auto"/>
            <w:noWrap/>
            <w:vAlign w:val="center"/>
            <w:hideMark/>
          </w:tcPr>
          <w:p w14:paraId="3434E530" w14:textId="4BE9A3B5"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Cx3cr1</w:t>
            </w:r>
          </w:p>
        </w:tc>
        <w:tc>
          <w:tcPr>
            <w:tcW w:w="1169" w:type="pct"/>
            <w:tcBorders>
              <w:top w:val="nil"/>
              <w:left w:val="nil"/>
              <w:bottom w:val="nil"/>
              <w:right w:val="nil"/>
            </w:tcBorders>
            <w:shd w:val="clear" w:color="auto" w:fill="auto"/>
            <w:noWrap/>
            <w:vAlign w:val="center"/>
            <w:hideMark/>
          </w:tcPr>
          <w:p w14:paraId="6C492A5E" w14:textId="1F1BC9BA"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-4.280 </w:t>
            </w:r>
          </w:p>
        </w:tc>
        <w:tc>
          <w:tcPr>
            <w:tcW w:w="500" w:type="pct"/>
            <w:tcBorders>
              <w:top w:val="nil"/>
              <w:left w:val="nil"/>
              <w:bottom w:val="nil"/>
              <w:right w:val="nil"/>
            </w:tcBorders>
            <w:shd w:val="clear" w:color="auto" w:fill="auto"/>
            <w:noWrap/>
            <w:vAlign w:val="center"/>
            <w:hideMark/>
          </w:tcPr>
          <w:p w14:paraId="4DEB4060" w14:textId="66666F6F"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55116FD3" w14:textId="2F7F8E2D"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18FBE066" w14:textId="266841F7"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79</w:t>
            </w:r>
            <w:r w:rsidRPr="002C3397">
              <w:rPr>
                <w:rFonts w:ascii="Arial" w:eastAsia="等线" w:hAnsi="Arial" w:cs="Arial"/>
                <w:noProof/>
                <w:color w:val="000000"/>
                <w:kern w:val="0"/>
                <w:szCs w:val="21"/>
              </w:rPr>
              <w:t>]</w:t>
            </w:r>
          </w:p>
        </w:tc>
      </w:tr>
      <w:tr w:rsidR="00916F45" w:rsidRPr="002C3397" w14:paraId="26248056"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5082C04C" w14:textId="4276F358"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ENSMUSG00000030966</w:t>
            </w:r>
          </w:p>
        </w:tc>
        <w:tc>
          <w:tcPr>
            <w:tcW w:w="916" w:type="pct"/>
            <w:gridSpan w:val="2"/>
            <w:tcBorders>
              <w:top w:val="nil"/>
              <w:left w:val="nil"/>
              <w:bottom w:val="nil"/>
              <w:right w:val="nil"/>
            </w:tcBorders>
            <w:shd w:val="clear" w:color="auto" w:fill="auto"/>
            <w:noWrap/>
            <w:vAlign w:val="center"/>
            <w:hideMark/>
          </w:tcPr>
          <w:p w14:paraId="43180DA2" w14:textId="2146C9E7"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Trim21</w:t>
            </w:r>
          </w:p>
        </w:tc>
        <w:tc>
          <w:tcPr>
            <w:tcW w:w="1169" w:type="pct"/>
            <w:tcBorders>
              <w:top w:val="nil"/>
              <w:left w:val="nil"/>
              <w:bottom w:val="nil"/>
              <w:right w:val="nil"/>
            </w:tcBorders>
            <w:shd w:val="clear" w:color="auto" w:fill="auto"/>
            <w:noWrap/>
            <w:vAlign w:val="center"/>
            <w:hideMark/>
          </w:tcPr>
          <w:p w14:paraId="0CCFDA85" w14:textId="609DB510"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-4.673 </w:t>
            </w:r>
          </w:p>
        </w:tc>
        <w:tc>
          <w:tcPr>
            <w:tcW w:w="500" w:type="pct"/>
            <w:tcBorders>
              <w:top w:val="nil"/>
              <w:left w:val="nil"/>
              <w:bottom w:val="nil"/>
              <w:right w:val="nil"/>
            </w:tcBorders>
            <w:shd w:val="clear" w:color="auto" w:fill="auto"/>
            <w:noWrap/>
            <w:vAlign w:val="center"/>
            <w:hideMark/>
          </w:tcPr>
          <w:p w14:paraId="1CFECB8D" w14:textId="08E553B0"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75D3B2A4" w14:textId="7D27FE28"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55793649" w14:textId="01B90179"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80</w:t>
            </w:r>
            <w:r w:rsidRPr="002C3397">
              <w:rPr>
                <w:rFonts w:ascii="Arial" w:eastAsia="等线" w:hAnsi="Arial" w:cs="Arial"/>
                <w:noProof/>
                <w:color w:val="000000"/>
                <w:kern w:val="0"/>
                <w:szCs w:val="21"/>
              </w:rPr>
              <w:t>]</w:t>
            </w:r>
          </w:p>
        </w:tc>
      </w:tr>
      <w:tr w:rsidR="00916F45" w:rsidRPr="002C3397" w14:paraId="62FFB23C"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615C39B5" w14:textId="11929C52"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ENSMUSG00000003545</w:t>
            </w:r>
          </w:p>
        </w:tc>
        <w:tc>
          <w:tcPr>
            <w:tcW w:w="916" w:type="pct"/>
            <w:gridSpan w:val="2"/>
            <w:tcBorders>
              <w:top w:val="nil"/>
              <w:left w:val="nil"/>
              <w:bottom w:val="nil"/>
              <w:right w:val="nil"/>
            </w:tcBorders>
            <w:shd w:val="clear" w:color="auto" w:fill="auto"/>
            <w:noWrap/>
            <w:vAlign w:val="center"/>
            <w:hideMark/>
          </w:tcPr>
          <w:p w14:paraId="2A1EC61F" w14:textId="16B6963C"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Fosb</w:t>
            </w:r>
          </w:p>
        </w:tc>
        <w:tc>
          <w:tcPr>
            <w:tcW w:w="1169" w:type="pct"/>
            <w:tcBorders>
              <w:top w:val="nil"/>
              <w:left w:val="nil"/>
              <w:bottom w:val="nil"/>
              <w:right w:val="nil"/>
            </w:tcBorders>
            <w:shd w:val="clear" w:color="auto" w:fill="auto"/>
            <w:noWrap/>
            <w:vAlign w:val="center"/>
            <w:hideMark/>
          </w:tcPr>
          <w:p w14:paraId="79A36647" w14:textId="36416323"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4.454 </w:t>
            </w:r>
          </w:p>
        </w:tc>
        <w:tc>
          <w:tcPr>
            <w:tcW w:w="500" w:type="pct"/>
            <w:tcBorders>
              <w:top w:val="nil"/>
              <w:left w:val="nil"/>
              <w:bottom w:val="nil"/>
              <w:right w:val="nil"/>
            </w:tcBorders>
            <w:shd w:val="clear" w:color="auto" w:fill="auto"/>
            <w:noWrap/>
            <w:vAlign w:val="center"/>
            <w:hideMark/>
          </w:tcPr>
          <w:p w14:paraId="0C97BBE4" w14:textId="5BD81616"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340FC450" w14:textId="654FA9F6"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5BEB0A87" w14:textId="68CBE521"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81</w:t>
            </w:r>
            <w:r w:rsidRPr="002C3397">
              <w:rPr>
                <w:rFonts w:ascii="Arial" w:eastAsia="等线" w:hAnsi="Arial" w:cs="Arial"/>
                <w:noProof/>
                <w:color w:val="000000"/>
                <w:kern w:val="0"/>
                <w:szCs w:val="21"/>
              </w:rPr>
              <w:t>]</w:t>
            </w:r>
          </w:p>
        </w:tc>
      </w:tr>
      <w:tr w:rsidR="00916F45" w:rsidRPr="002C3397" w14:paraId="15FF074D"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066595CC" w14:textId="531FC693"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ENSMUSG00000058454</w:t>
            </w:r>
          </w:p>
        </w:tc>
        <w:tc>
          <w:tcPr>
            <w:tcW w:w="916" w:type="pct"/>
            <w:gridSpan w:val="2"/>
            <w:tcBorders>
              <w:top w:val="nil"/>
              <w:left w:val="nil"/>
              <w:bottom w:val="nil"/>
              <w:right w:val="nil"/>
            </w:tcBorders>
            <w:shd w:val="clear" w:color="auto" w:fill="auto"/>
            <w:noWrap/>
            <w:vAlign w:val="center"/>
            <w:hideMark/>
          </w:tcPr>
          <w:p w14:paraId="0230591A" w14:textId="19FFEFE7"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Dhcr7</w:t>
            </w:r>
          </w:p>
        </w:tc>
        <w:tc>
          <w:tcPr>
            <w:tcW w:w="1169" w:type="pct"/>
            <w:tcBorders>
              <w:top w:val="nil"/>
              <w:left w:val="nil"/>
              <w:bottom w:val="nil"/>
              <w:right w:val="nil"/>
            </w:tcBorders>
            <w:shd w:val="clear" w:color="auto" w:fill="auto"/>
            <w:noWrap/>
            <w:vAlign w:val="center"/>
            <w:hideMark/>
          </w:tcPr>
          <w:p w14:paraId="13D6F172" w14:textId="2FAC88E2"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-2.724 </w:t>
            </w:r>
          </w:p>
        </w:tc>
        <w:tc>
          <w:tcPr>
            <w:tcW w:w="500" w:type="pct"/>
            <w:tcBorders>
              <w:top w:val="nil"/>
              <w:left w:val="nil"/>
              <w:bottom w:val="nil"/>
              <w:right w:val="nil"/>
            </w:tcBorders>
            <w:shd w:val="clear" w:color="auto" w:fill="auto"/>
            <w:noWrap/>
            <w:vAlign w:val="center"/>
            <w:hideMark/>
          </w:tcPr>
          <w:p w14:paraId="37F96255" w14:textId="2DD998C3"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753E1F08" w14:textId="452BC6E2"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6B397309" w14:textId="7C39FF0A"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82</w:t>
            </w:r>
            <w:r w:rsidRPr="002C3397">
              <w:rPr>
                <w:rFonts w:ascii="Arial" w:eastAsia="等线" w:hAnsi="Arial" w:cs="Arial"/>
                <w:noProof/>
                <w:color w:val="000000"/>
                <w:kern w:val="0"/>
                <w:szCs w:val="21"/>
              </w:rPr>
              <w:t>]</w:t>
            </w:r>
          </w:p>
        </w:tc>
      </w:tr>
      <w:tr w:rsidR="00916F45" w:rsidRPr="002C3397" w14:paraId="0426A711"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73C7BF28" w14:textId="44CEA100"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ENSMUSG00000044583</w:t>
            </w:r>
          </w:p>
        </w:tc>
        <w:tc>
          <w:tcPr>
            <w:tcW w:w="916" w:type="pct"/>
            <w:gridSpan w:val="2"/>
            <w:tcBorders>
              <w:top w:val="nil"/>
              <w:left w:val="nil"/>
              <w:bottom w:val="nil"/>
              <w:right w:val="nil"/>
            </w:tcBorders>
            <w:shd w:val="clear" w:color="auto" w:fill="auto"/>
            <w:noWrap/>
            <w:vAlign w:val="center"/>
            <w:hideMark/>
          </w:tcPr>
          <w:p w14:paraId="50FD457C" w14:textId="070AE018"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Tlr7</w:t>
            </w:r>
          </w:p>
        </w:tc>
        <w:tc>
          <w:tcPr>
            <w:tcW w:w="1169" w:type="pct"/>
            <w:tcBorders>
              <w:top w:val="nil"/>
              <w:left w:val="nil"/>
              <w:bottom w:val="nil"/>
              <w:right w:val="nil"/>
            </w:tcBorders>
            <w:shd w:val="clear" w:color="auto" w:fill="auto"/>
            <w:noWrap/>
            <w:vAlign w:val="center"/>
            <w:hideMark/>
          </w:tcPr>
          <w:p w14:paraId="1F5F8BE0" w14:textId="0B3FFFAF"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-2.055 </w:t>
            </w:r>
          </w:p>
        </w:tc>
        <w:tc>
          <w:tcPr>
            <w:tcW w:w="500" w:type="pct"/>
            <w:tcBorders>
              <w:top w:val="nil"/>
              <w:left w:val="nil"/>
              <w:bottom w:val="nil"/>
              <w:right w:val="nil"/>
            </w:tcBorders>
            <w:shd w:val="clear" w:color="auto" w:fill="auto"/>
            <w:noWrap/>
            <w:vAlign w:val="center"/>
            <w:hideMark/>
          </w:tcPr>
          <w:p w14:paraId="2F85E472" w14:textId="14421BA4"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3E99BB9C" w14:textId="5AFFA87F"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2ABF337A" w14:textId="0F879F05"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83-85</w:t>
            </w:r>
            <w:r w:rsidRPr="002C3397">
              <w:rPr>
                <w:rFonts w:ascii="Arial" w:eastAsia="等线" w:hAnsi="Arial" w:cs="Arial"/>
                <w:noProof/>
                <w:color w:val="000000"/>
                <w:kern w:val="0"/>
                <w:szCs w:val="21"/>
              </w:rPr>
              <w:t>]</w:t>
            </w:r>
          </w:p>
        </w:tc>
      </w:tr>
      <w:tr w:rsidR="00916F45" w:rsidRPr="002C3397" w14:paraId="0F18CAED"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59E3DF30" w14:textId="08C878EF" w:rsidR="00916F45" w:rsidRPr="002C3397" w:rsidRDefault="001134C7"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ENSMUSG00000026896</w:t>
            </w:r>
          </w:p>
        </w:tc>
        <w:tc>
          <w:tcPr>
            <w:tcW w:w="916" w:type="pct"/>
            <w:gridSpan w:val="2"/>
            <w:tcBorders>
              <w:top w:val="nil"/>
              <w:left w:val="nil"/>
              <w:bottom w:val="nil"/>
              <w:right w:val="nil"/>
            </w:tcBorders>
            <w:shd w:val="clear" w:color="auto" w:fill="auto"/>
            <w:noWrap/>
            <w:vAlign w:val="center"/>
            <w:hideMark/>
          </w:tcPr>
          <w:p w14:paraId="15F60E21" w14:textId="7A25CB9E" w:rsidR="00916F45" w:rsidRPr="002C3397" w:rsidRDefault="001134C7"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Ifih1</w:t>
            </w:r>
          </w:p>
        </w:tc>
        <w:tc>
          <w:tcPr>
            <w:tcW w:w="1169" w:type="pct"/>
            <w:tcBorders>
              <w:top w:val="nil"/>
              <w:left w:val="nil"/>
              <w:bottom w:val="nil"/>
              <w:right w:val="nil"/>
            </w:tcBorders>
            <w:shd w:val="clear" w:color="auto" w:fill="auto"/>
            <w:noWrap/>
            <w:vAlign w:val="center"/>
            <w:hideMark/>
          </w:tcPr>
          <w:p w14:paraId="1B88CBBA" w14:textId="200A249C" w:rsidR="00916F45" w:rsidRPr="002C3397" w:rsidRDefault="001134C7" w:rsidP="001134C7">
            <w:pPr>
              <w:widowControl/>
              <w:jc w:val="center"/>
              <w:rPr>
                <w:rFonts w:ascii="Arial" w:eastAsia="等线" w:hAnsi="Arial" w:cs="Arial"/>
                <w:color w:val="000000"/>
                <w:szCs w:val="21"/>
              </w:rPr>
            </w:pPr>
            <w:r w:rsidRPr="002C3397">
              <w:rPr>
                <w:rFonts w:ascii="Arial" w:eastAsia="等线" w:hAnsi="Arial" w:cs="Arial"/>
                <w:color w:val="000000"/>
                <w:szCs w:val="21"/>
              </w:rPr>
              <w:t>-2.693</w:t>
            </w:r>
          </w:p>
        </w:tc>
        <w:tc>
          <w:tcPr>
            <w:tcW w:w="500" w:type="pct"/>
            <w:tcBorders>
              <w:top w:val="nil"/>
              <w:left w:val="nil"/>
              <w:bottom w:val="nil"/>
              <w:right w:val="nil"/>
            </w:tcBorders>
            <w:shd w:val="clear" w:color="auto" w:fill="auto"/>
            <w:noWrap/>
            <w:vAlign w:val="center"/>
            <w:hideMark/>
          </w:tcPr>
          <w:p w14:paraId="69FC59D6" w14:textId="67CB3EA5"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110F5A96" w14:textId="5ED39C14"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1512D8ED" w14:textId="37B3A53A"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86</w:t>
            </w:r>
            <w:r w:rsidRPr="002C3397">
              <w:rPr>
                <w:rFonts w:ascii="Arial" w:eastAsia="等线" w:hAnsi="Arial" w:cs="Arial"/>
                <w:noProof/>
                <w:color w:val="000000"/>
                <w:kern w:val="0"/>
                <w:szCs w:val="21"/>
              </w:rPr>
              <w:t>]</w:t>
            </w:r>
          </w:p>
        </w:tc>
      </w:tr>
      <w:tr w:rsidR="00916F45" w:rsidRPr="002C3397" w14:paraId="4D6F7AD5"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452D9CDF" w14:textId="5D1DA5AF"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ENSMUSG00000002325</w:t>
            </w:r>
          </w:p>
        </w:tc>
        <w:tc>
          <w:tcPr>
            <w:tcW w:w="916" w:type="pct"/>
            <w:gridSpan w:val="2"/>
            <w:tcBorders>
              <w:top w:val="nil"/>
              <w:left w:val="nil"/>
              <w:bottom w:val="nil"/>
              <w:right w:val="nil"/>
            </w:tcBorders>
            <w:shd w:val="clear" w:color="auto" w:fill="auto"/>
            <w:noWrap/>
            <w:vAlign w:val="center"/>
            <w:hideMark/>
          </w:tcPr>
          <w:p w14:paraId="01E7E863" w14:textId="632BFAA8"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Irf9</w:t>
            </w:r>
          </w:p>
        </w:tc>
        <w:tc>
          <w:tcPr>
            <w:tcW w:w="1169" w:type="pct"/>
            <w:tcBorders>
              <w:top w:val="nil"/>
              <w:left w:val="nil"/>
              <w:bottom w:val="nil"/>
              <w:right w:val="nil"/>
            </w:tcBorders>
            <w:shd w:val="clear" w:color="auto" w:fill="auto"/>
            <w:noWrap/>
            <w:vAlign w:val="center"/>
            <w:hideMark/>
          </w:tcPr>
          <w:p w14:paraId="38CADB7B" w14:textId="78FE690B"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-2.327 </w:t>
            </w:r>
          </w:p>
        </w:tc>
        <w:tc>
          <w:tcPr>
            <w:tcW w:w="500" w:type="pct"/>
            <w:tcBorders>
              <w:top w:val="nil"/>
              <w:left w:val="nil"/>
              <w:bottom w:val="nil"/>
              <w:right w:val="nil"/>
            </w:tcBorders>
            <w:shd w:val="clear" w:color="auto" w:fill="auto"/>
            <w:noWrap/>
            <w:vAlign w:val="center"/>
            <w:hideMark/>
          </w:tcPr>
          <w:p w14:paraId="5952DC65" w14:textId="4267E248"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5ADDEFF2" w14:textId="65D36EEC"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0F4B0E47" w14:textId="6B42A2E2"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87</w:t>
            </w:r>
            <w:r w:rsidRPr="002C3397">
              <w:rPr>
                <w:rFonts w:ascii="Arial" w:eastAsia="等线" w:hAnsi="Arial" w:cs="Arial"/>
                <w:noProof/>
                <w:color w:val="000000"/>
                <w:kern w:val="0"/>
                <w:szCs w:val="21"/>
              </w:rPr>
              <w:t>]</w:t>
            </w:r>
          </w:p>
        </w:tc>
      </w:tr>
      <w:tr w:rsidR="00916F45" w:rsidRPr="002C3397" w14:paraId="5861B226"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48C80A54" w14:textId="44696B26"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ENSMUSG00000028599</w:t>
            </w:r>
          </w:p>
        </w:tc>
        <w:tc>
          <w:tcPr>
            <w:tcW w:w="916" w:type="pct"/>
            <w:gridSpan w:val="2"/>
            <w:tcBorders>
              <w:top w:val="nil"/>
              <w:left w:val="nil"/>
              <w:bottom w:val="nil"/>
              <w:right w:val="nil"/>
            </w:tcBorders>
            <w:shd w:val="clear" w:color="auto" w:fill="auto"/>
            <w:noWrap/>
            <w:vAlign w:val="center"/>
            <w:hideMark/>
          </w:tcPr>
          <w:p w14:paraId="3D412743" w14:textId="0F4E2461"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Tnfrsf1b</w:t>
            </w:r>
          </w:p>
        </w:tc>
        <w:tc>
          <w:tcPr>
            <w:tcW w:w="1169" w:type="pct"/>
            <w:tcBorders>
              <w:top w:val="nil"/>
              <w:left w:val="nil"/>
              <w:bottom w:val="nil"/>
              <w:right w:val="nil"/>
            </w:tcBorders>
            <w:shd w:val="clear" w:color="auto" w:fill="auto"/>
            <w:noWrap/>
            <w:vAlign w:val="center"/>
            <w:hideMark/>
          </w:tcPr>
          <w:p w14:paraId="078BFAA7" w14:textId="0F481524"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2.026 </w:t>
            </w:r>
          </w:p>
        </w:tc>
        <w:tc>
          <w:tcPr>
            <w:tcW w:w="500" w:type="pct"/>
            <w:tcBorders>
              <w:top w:val="nil"/>
              <w:left w:val="nil"/>
              <w:bottom w:val="nil"/>
              <w:right w:val="nil"/>
            </w:tcBorders>
            <w:shd w:val="clear" w:color="auto" w:fill="auto"/>
            <w:noWrap/>
            <w:vAlign w:val="center"/>
            <w:hideMark/>
          </w:tcPr>
          <w:p w14:paraId="201B8CD2" w14:textId="0127DC3B"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5BF617F3" w14:textId="1BDAF57A"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0B019FF2" w14:textId="5C9938F8"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88</w:t>
            </w:r>
            <w:r w:rsidRPr="002C3397">
              <w:rPr>
                <w:rFonts w:ascii="Arial" w:eastAsia="等线" w:hAnsi="Arial" w:cs="Arial"/>
                <w:noProof/>
                <w:color w:val="000000"/>
                <w:kern w:val="0"/>
                <w:szCs w:val="21"/>
              </w:rPr>
              <w:t>]</w:t>
            </w:r>
          </w:p>
        </w:tc>
      </w:tr>
      <w:tr w:rsidR="00916F45" w:rsidRPr="002C3397" w14:paraId="37BD0625"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36FC2E3A" w14:textId="645977A7"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ENSMUSG00000026773</w:t>
            </w:r>
          </w:p>
        </w:tc>
        <w:tc>
          <w:tcPr>
            <w:tcW w:w="916" w:type="pct"/>
            <w:gridSpan w:val="2"/>
            <w:tcBorders>
              <w:top w:val="nil"/>
              <w:left w:val="nil"/>
              <w:bottom w:val="nil"/>
              <w:right w:val="nil"/>
            </w:tcBorders>
            <w:shd w:val="clear" w:color="auto" w:fill="auto"/>
            <w:noWrap/>
            <w:vAlign w:val="center"/>
            <w:hideMark/>
          </w:tcPr>
          <w:p w14:paraId="0386396C" w14:textId="39588396"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Pfkfb3</w:t>
            </w:r>
          </w:p>
        </w:tc>
        <w:tc>
          <w:tcPr>
            <w:tcW w:w="1169" w:type="pct"/>
            <w:tcBorders>
              <w:top w:val="nil"/>
              <w:left w:val="nil"/>
              <w:bottom w:val="nil"/>
              <w:right w:val="nil"/>
            </w:tcBorders>
            <w:shd w:val="clear" w:color="auto" w:fill="auto"/>
            <w:noWrap/>
            <w:vAlign w:val="center"/>
            <w:hideMark/>
          </w:tcPr>
          <w:p w14:paraId="4F558940" w14:textId="506C3B42"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2.062 </w:t>
            </w:r>
          </w:p>
        </w:tc>
        <w:tc>
          <w:tcPr>
            <w:tcW w:w="500" w:type="pct"/>
            <w:tcBorders>
              <w:top w:val="nil"/>
              <w:left w:val="nil"/>
              <w:bottom w:val="nil"/>
              <w:right w:val="nil"/>
            </w:tcBorders>
            <w:shd w:val="clear" w:color="auto" w:fill="auto"/>
            <w:noWrap/>
            <w:vAlign w:val="center"/>
            <w:hideMark/>
          </w:tcPr>
          <w:p w14:paraId="1F7F2BC0" w14:textId="662E06C4"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6CBE33DF" w14:textId="6E828A9C"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57D8EB05" w14:textId="7C5939E9"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89</w:t>
            </w:r>
            <w:r w:rsidRPr="002C3397">
              <w:rPr>
                <w:rFonts w:ascii="Arial" w:eastAsia="等线" w:hAnsi="Arial" w:cs="Arial"/>
                <w:noProof/>
                <w:color w:val="000000"/>
                <w:kern w:val="0"/>
                <w:szCs w:val="21"/>
              </w:rPr>
              <w:t>]</w:t>
            </w:r>
          </w:p>
        </w:tc>
      </w:tr>
      <w:tr w:rsidR="00916F45" w:rsidRPr="002C3397" w14:paraId="4037C116"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69A17F6C" w14:textId="78111C9A"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ENSMUSG00000023905</w:t>
            </w:r>
          </w:p>
        </w:tc>
        <w:tc>
          <w:tcPr>
            <w:tcW w:w="916" w:type="pct"/>
            <w:gridSpan w:val="2"/>
            <w:tcBorders>
              <w:top w:val="nil"/>
              <w:left w:val="nil"/>
              <w:bottom w:val="nil"/>
              <w:right w:val="nil"/>
            </w:tcBorders>
            <w:shd w:val="clear" w:color="auto" w:fill="auto"/>
            <w:noWrap/>
            <w:vAlign w:val="center"/>
            <w:hideMark/>
          </w:tcPr>
          <w:p w14:paraId="73A24519" w14:textId="1BC274D4"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Tnfrsf12a</w:t>
            </w:r>
          </w:p>
        </w:tc>
        <w:tc>
          <w:tcPr>
            <w:tcW w:w="1169" w:type="pct"/>
            <w:tcBorders>
              <w:top w:val="nil"/>
              <w:left w:val="nil"/>
              <w:bottom w:val="nil"/>
              <w:right w:val="nil"/>
            </w:tcBorders>
            <w:shd w:val="clear" w:color="auto" w:fill="auto"/>
            <w:noWrap/>
            <w:vAlign w:val="center"/>
            <w:hideMark/>
          </w:tcPr>
          <w:p w14:paraId="3341BB61" w14:textId="7F145527"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2.789 </w:t>
            </w:r>
          </w:p>
        </w:tc>
        <w:tc>
          <w:tcPr>
            <w:tcW w:w="500" w:type="pct"/>
            <w:tcBorders>
              <w:top w:val="nil"/>
              <w:left w:val="nil"/>
              <w:bottom w:val="nil"/>
              <w:right w:val="nil"/>
            </w:tcBorders>
            <w:shd w:val="clear" w:color="auto" w:fill="auto"/>
            <w:noWrap/>
            <w:vAlign w:val="center"/>
            <w:hideMark/>
          </w:tcPr>
          <w:p w14:paraId="7BBE5645" w14:textId="70EF2C5D"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500093B2" w14:textId="0484D437"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412EEC9B" w14:textId="488E9E42"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90</w:t>
            </w:r>
            <w:r w:rsidRPr="002C3397">
              <w:rPr>
                <w:rFonts w:ascii="Arial" w:eastAsia="等线" w:hAnsi="Arial" w:cs="Arial"/>
                <w:noProof/>
                <w:color w:val="000000"/>
                <w:kern w:val="0"/>
                <w:szCs w:val="21"/>
              </w:rPr>
              <w:t>]</w:t>
            </w:r>
          </w:p>
        </w:tc>
      </w:tr>
      <w:tr w:rsidR="00916F45" w:rsidRPr="002C3397" w14:paraId="0306CEF3"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35F74D79" w14:textId="53829B61"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ENSMUSG00000034765</w:t>
            </w:r>
          </w:p>
        </w:tc>
        <w:tc>
          <w:tcPr>
            <w:tcW w:w="916" w:type="pct"/>
            <w:gridSpan w:val="2"/>
            <w:tcBorders>
              <w:top w:val="nil"/>
              <w:left w:val="nil"/>
              <w:bottom w:val="nil"/>
              <w:right w:val="nil"/>
            </w:tcBorders>
            <w:shd w:val="clear" w:color="auto" w:fill="auto"/>
            <w:noWrap/>
            <w:vAlign w:val="center"/>
            <w:hideMark/>
          </w:tcPr>
          <w:p w14:paraId="6B63E4AF" w14:textId="262E4C45"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Dusp5</w:t>
            </w:r>
          </w:p>
        </w:tc>
        <w:tc>
          <w:tcPr>
            <w:tcW w:w="1169" w:type="pct"/>
            <w:tcBorders>
              <w:top w:val="nil"/>
              <w:left w:val="nil"/>
              <w:bottom w:val="nil"/>
              <w:right w:val="nil"/>
            </w:tcBorders>
            <w:shd w:val="clear" w:color="auto" w:fill="auto"/>
            <w:noWrap/>
            <w:vAlign w:val="center"/>
            <w:hideMark/>
          </w:tcPr>
          <w:p w14:paraId="72490395" w14:textId="3CA55AD2"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2.200 </w:t>
            </w:r>
          </w:p>
        </w:tc>
        <w:tc>
          <w:tcPr>
            <w:tcW w:w="500" w:type="pct"/>
            <w:tcBorders>
              <w:top w:val="nil"/>
              <w:left w:val="nil"/>
              <w:bottom w:val="nil"/>
              <w:right w:val="nil"/>
            </w:tcBorders>
            <w:shd w:val="clear" w:color="auto" w:fill="auto"/>
            <w:noWrap/>
            <w:vAlign w:val="center"/>
            <w:hideMark/>
          </w:tcPr>
          <w:p w14:paraId="761B6EA0" w14:textId="653B7C0E"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156FE7F0" w14:textId="1579715B"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0121A6C0" w14:textId="4ACDF07F"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91</w:t>
            </w:r>
            <w:r w:rsidRPr="002C3397">
              <w:rPr>
                <w:rFonts w:ascii="Arial" w:eastAsia="等线" w:hAnsi="Arial" w:cs="Arial"/>
                <w:noProof/>
                <w:color w:val="000000"/>
                <w:kern w:val="0"/>
                <w:szCs w:val="21"/>
              </w:rPr>
              <w:t>]</w:t>
            </w:r>
          </w:p>
        </w:tc>
      </w:tr>
      <w:tr w:rsidR="00916F45" w:rsidRPr="002C3397" w14:paraId="334DABAD"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373DE06C" w14:textId="2ED320BD"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ENSMUSG00000042082</w:t>
            </w:r>
          </w:p>
        </w:tc>
        <w:tc>
          <w:tcPr>
            <w:tcW w:w="916" w:type="pct"/>
            <w:gridSpan w:val="2"/>
            <w:tcBorders>
              <w:top w:val="nil"/>
              <w:left w:val="nil"/>
              <w:bottom w:val="nil"/>
              <w:right w:val="nil"/>
            </w:tcBorders>
            <w:shd w:val="clear" w:color="auto" w:fill="auto"/>
            <w:noWrap/>
            <w:vAlign w:val="center"/>
            <w:hideMark/>
          </w:tcPr>
          <w:p w14:paraId="5BD771A6" w14:textId="1543BBBB"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Arsb</w:t>
            </w:r>
          </w:p>
        </w:tc>
        <w:tc>
          <w:tcPr>
            <w:tcW w:w="1169" w:type="pct"/>
            <w:tcBorders>
              <w:top w:val="nil"/>
              <w:left w:val="nil"/>
              <w:bottom w:val="nil"/>
              <w:right w:val="nil"/>
            </w:tcBorders>
            <w:shd w:val="clear" w:color="auto" w:fill="auto"/>
            <w:noWrap/>
            <w:vAlign w:val="center"/>
            <w:hideMark/>
          </w:tcPr>
          <w:p w14:paraId="732FD9CC" w14:textId="3DC5885E"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-2.358 </w:t>
            </w:r>
          </w:p>
        </w:tc>
        <w:tc>
          <w:tcPr>
            <w:tcW w:w="500" w:type="pct"/>
            <w:tcBorders>
              <w:top w:val="nil"/>
              <w:left w:val="nil"/>
              <w:bottom w:val="nil"/>
              <w:right w:val="nil"/>
            </w:tcBorders>
            <w:shd w:val="clear" w:color="auto" w:fill="auto"/>
            <w:noWrap/>
            <w:vAlign w:val="center"/>
            <w:hideMark/>
          </w:tcPr>
          <w:p w14:paraId="0DC367EA" w14:textId="3FE722BD"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1C7638C7" w14:textId="44AF287B"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7E6CE9AE" w14:textId="142ED90A"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92</w:t>
            </w:r>
            <w:r w:rsidRPr="002C3397">
              <w:rPr>
                <w:rFonts w:ascii="Arial" w:eastAsia="等线" w:hAnsi="Arial" w:cs="Arial"/>
                <w:noProof/>
                <w:color w:val="000000"/>
                <w:kern w:val="0"/>
                <w:szCs w:val="21"/>
              </w:rPr>
              <w:t>]</w:t>
            </w:r>
          </w:p>
        </w:tc>
      </w:tr>
      <w:tr w:rsidR="00916F45" w:rsidRPr="002C3397" w14:paraId="60313F87"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45BFE23D" w14:textId="31BDA506"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ENSMUSG00000079017</w:t>
            </w:r>
          </w:p>
        </w:tc>
        <w:tc>
          <w:tcPr>
            <w:tcW w:w="916" w:type="pct"/>
            <w:gridSpan w:val="2"/>
            <w:tcBorders>
              <w:top w:val="nil"/>
              <w:left w:val="nil"/>
              <w:bottom w:val="nil"/>
              <w:right w:val="nil"/>
            </w:tcBorders>
            <w:shd w:val="clear" w:color="auto" w:fill="auto"/>
            <w:noWrap/>
            <w:vAlign w:val="center"/>
            <w:hideMark/>
          </w:tcPr>
          <w:p w14:paraId="6D57288E" w14:textId="22EDF964"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Ifi27l2a</w:t>
            </w:r>
          </w:p>
        </w:tc>
        <w:tc>
          <w:tcPr>
            <w:tcW w:w="1169" w:type="pct"/>
            <w:tcBorders>
              <w:top w:val="nil"/>
              <w:left w:val="nil"/>
              <w:bottom w:val="nil"/>
              <w:right w:val="nil"/>
            </w:tcBorders>
            <w:shd w:val="clear" w:color="auto" w:fill="auto"/>
            <w:noWrap/>
            <w:vAlign w:val="center"/>
            <w:hideMark/>
          </w:tcPr>
          <w:p w14:paraId="43BBCD17" w14:textId="76CA6E85"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-5.677 </w:t>
            </w:r>
          </w:p>
        </w:tc>
        <w:tc>
          <w:tcPr>
            <w:tcW w:w="500" w:type="pct"/>
            <w:tcBorders>
              <w:top w:val="nil"/>
              <w:left w:val="nil"/>
              <w:bottom w:val="nil"/>
              <w:right w:val="nil"/>
            </w:tcBorders>
            <w:shd w:val="clear" w:color="auto" w:fill="auto"/>
            <w:noWrap/>
            <w:vAlign w:val="center"/>
            <w:hideMark/>
          </w:tcPr>
          <w:p w14:paraId="16B7CECA" w14:textId="21FF262C"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2484D049" w14:textId="39D927B4"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16373D24" w14:textId="50A28C79"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18</w:t>
            </w:r>
            <w:r w:rsidRPr="002C3397">
              <w:rPr>
                <w:rFonts w:ascii="Arial" w:eastAsia="等线" w:hAnsi="Arial" w:cs="Arial"/>
                <w:noProof/>
                <w:color w:val="000000"/>
                <w:kern w:val="0"/>
                <w:szCs w:val="21"/>
              </w:rPr>
              <w:t>]</w:t>
            </w:r>
          </w:p>
        </w:tc>
      </w:tr>
      <w:tr w:rsidR="00916F45" w:rsidRPr="002C3397" w14:paraId="0B8E2322"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5C5F19C0" w14:textId="3541709A"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ENSMUSG00000048779</w:t>
            </w:r>
          </w:p>
        </w:tc>
        <w:tc>
          <w:tcPr>
            <w:tcW w:w="916" w:type="pct"/>
            <w:gridSpan w:val="2"/>
            <w:tcBorders>
              <w:top w:val="nil"/>
              <w:left w:val="nil"/>
              <w:bottom w:val="nil"/>
              <w:right w:val="nil"/>
            </w:tcBorders>
            <w:shd w:val="clear" w:color="auto" w:fill="auto"/>
            <w:noWrap/>
            <w:vAlign w:val="center"/>
            <w:hideMark/>
          </w:tcPr>
          <w:p w14:paraId="476BB051" w14:textId="7B60263C"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P2ry6</w:t>
            </w:r>
          </w:p>
        </w:tc>
        <w:tc>
          <w:tcPr>
            <w:tcW w:w="1169" w:type="pct"/>
            <w:tcBorders>
              <w:top w:val="nil"/>
              <w:left w:val="nil"/>
              <w:bottom w:val="nil"/>
              <w:right w:val="nil"/>
            </w:tcBorders>
            <w:shd w:val="clear" w:color="auto" w:fill="auto"/>
            <w:noWrap/>
            <w:vAlign w:val="center"/>
            <w:hideMark/>
          </w:tcPr>
          <w:p w14:paraId="0957FDE7" w14:textId="66E2F4DB"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-5.681 </w:t>
            </w:r>
          </w:p>
        </w:tc>
        <w:tc>
          <w:tcPr>
            <w:tcW w:w="500" w:type="pct"/>
            <w:tcBorders>
              <w:top w:val="nil"/>
              <w:left w:val="nil"/>
              <w:bottom w:val="nil"/>
              <w:right w:val="nil"/>
            </w:tcBorders>
            <w:shd w:val="clear" w:color="auto" w:fill="auto"/>
            <w:noWrap/>
            <w:vAlign w:val="center"/>
            <w:hideMark/>
          </w:tcPr>
          <w:p w14:paraId="0FB43EAB" w14:textId="27814A2A"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10D4DEFF" w14:textId="737AA05A"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517B8AF1" w14:textId="25AEF206"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93</w:t>
            </w:r>
            <w:r w:rsidRPr="002C3397">
              <w:rPr>
                <w:rFonts w:ascii="Arial" w:eastAsia="等线" w:hAnsi="Arial" w:cs="Arial"/>
                <w:noProof/>
                <w:color w:val="000000"/>
                <w:kern w:val="0"/>
                <w:szCs w:val="21"/>
              </w:rPr>
              <w:t>]</w:t>
            </w:r>
          </w:p>
        </w:tc>
      </w:tr>
      <w:tr w:rsidR="00916F45" w:rsidRPr="002C3397" w14:paraId="7A63EE9C"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66E69230" w14:textId="721A3DDA"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ENSMUSG00000026826</w:t>
            </w:r>
          </w:p>
        </w:tc>
        <w:tc>
          <w:tcPr>
            <w:tcW w:w="916" w:type="pct"/>
            <w:gridSpan w:val="2"/>
            <w:tcBorders>
              <w:top w:val="nil"/>
              <w:left w:val="nil"/>
              <w:bottom w:val="nil"/>
              <w:right w:val="nil"/>
            </w:tcBorders>
            <w:shd w:val="clear" w:color="auto" w:fill="auto"/>
            <w:noWrap/>
            <w:vAlign w:val="center"/>
            <w:hideMark/>
          </w:tcPr>
          <w:p w14:paraId="3683162D" w14:textId="3A92C08F"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Nr4a2</w:t>
            </w:r>
          </w:p>
        </w:tc>
        <w:tc>
          <w:tcPr>
            <w:tcW w:w="1169" w:type="pct"/>
            <w:tcBorders>
              <w:top w:val="nil"/>
              <w:left w:val="nil"/>
              <w:bottom w:val="nil"/>
              <w:right w:val="nil"/>
            </w:tcBorders>
            <w:shd w:val="clear" w:color="auto" w:fill="auto"/>
            <w:noWrap/>
            <w:vAlign w:val="center"/>
            <w:hideMark/>
          </w:tcPr>
          <w:p w14:paraId="5DF694E9" w14:textId="20B1B29C"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3.022 </w:t>
            </w:r>
          </w:p>
        </w:tc>
        <w:tc>
          <w:tcPr>
            <w:tcW w:w="500" w:type="pct"/>
            <w:tcBorders>
              <w:top w:val="nil"/>
              <w:left w:val="nil"/>
              <w:bottom w:val="nil"/>
              <w:right w:val="nil"/>
            </w:tcBorders>
            <w:shd w:val="clear" w:color="auto" w:fill="auto"/>
            <w:noWrap/>
            <w:vAlign w:val="center"/>
            <w:hideMark/>
          </w:tcPr>
          <w:p w14:paraId="57BBA34F" w14:textId="00531898"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5474E06B" w14:textId="3F500EFD"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22D25718" w14:textId="114C655B"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94</w:t>
            </w:r>
            <w:r w:rsidRPr="002C3397">
              <w:rPr>
                <w:rFonts w:ascii="Arial" w:eastAsia="等线" w:hAnsi="Arial" w:cs="Arial"/>
                <w:noProof/>
                <w:color w:val="000000"/>
                <w:kern w:val="0"/>
                <w:szCs w:val="21"/>
              </w:rPr>
              <w:t>]</w:t>
            </w:r>
          </w:p>
        </w:tc>
      </w:tr>
      <w:tr w:rsidR="00916F45" w:rsidRPr="002C3397" w14:paraId="1139FE91"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66C5CE08" w14:textId="4982E00A"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ENSMUSG00000030102</w:t>
            </w:r>
          </w:p>
        </w:tc>
        <w:tc>
          <w:tcPr>
            <w:tcW w:w="916" w:type="pct"/>
            <w:gridSpan w:val="2"/>
            <w:tcBorders>
              <w:top w:val="nil"/>
              <w:left w:val="nil"/>
              <w:bottom w:val="nil"/>
              <w:right w:val="nil"/>
            </w:tcBorders>
            <w:shd w:val="clear" w:color="auto" w:fill="auto"/>
            <w:noWrap/>
            <w:vAlign w:val="center"/>
            <w:hideMark/>
          </w:tcPr>
          <w:p w14:paraId="4D7DF062" w14:textId="083162AF"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Itpr1</w:t>
            </w:r>
          </w:p>
        </w:tc>
        <w:tc>
          <w:tcPr>
            <w:tcW w:w="1169" w:type="pct"/>
            <w:tcBorders>
              <w:top w:val="nil"/>
              <w:left w:val="nil"/>
              <w:bottom w:val="nil"/>
              <w:right w:val="nil"/>
            </w:tcBorders>
            <w:shd w:val="clear" w:color="auto" w:fill="auto"/>
            <w:noWrap/>
            <w:vAlign w:val="center"/>
            <w:hideMark/>
          </w:tcPr>
          <w:p w14:paraId="737BB385" w14:textId="41C5CC4A"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-2.028 </w:t>
            </w:r>
          </w:p>
        </w:tc>
        <w:tc>
          <w:tcPr>
            <w:tcW w:w="500" w:type="pct"/>
            <w:tcBorders>
              <w:top w:val="nil"/>
              <w:left w:val="nil"/>
              <w:bottom w:val="nil"/>
              <w:right w:val="nil"/>
            </w:tcBorders>
            <w:shd w:val="clear" w:color="auto" w:fill="auto"/>
            <w:noWrap/>
            <w:vAlign w:val="center"/>
            <w:hideMark/>
          </w:tcPr>
          <w:p w14:paraId="6BA2DFF0" w14:textId="62BF8BB8"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6275E64F" w14:textId="2259CDCC"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601142BC" w14:textId="170E8E75"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95</w:t>
            </w:r>
            <w:r w:rsidRPr="002C3397">
              <w:rPr>
                <w:rFonts w:ascii="Arial" w:eastAsia="等线" w:hAnsi="Arial" w:cs="Arial"/>
                <w:noProof/>
                <w:color w:val="000000"/>
                <w:kern w:val="0"/>
                <w:szCs w:val="21"/>
              </w:rPr>
              <w:t>]</w:t>
            </w:r>
          </w:p>
        </w:tc>
      </w:tr>
      <w:tr w:rsidR="00916F45" w:rsidRPr="002C3397" w14:paraId="1F868823"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78E7B319" w14:textId="1FFF7AA1"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ENSMUSG00000027605</w:t>
            </w:r>
          </w:p>
        </w:tc>
        <w:tc>
          <w:tcPr>
            <w:tcW w:w="916" w:type="pct"/>
            <w:gridSpan w:val="2"/>
            <w:tcBorders>
              <w:top w:val="nil"/>
              <w:left w:val="nil"/>
              <w:bottom w:val="nil"/>
              <w:right w:val="nil"/>
            </w:tcBorders>
            <w:shd w:val="clear" w:color="auto" w:fill="auto"/>
            <w:noWrap/>
            <w:vAlign w:val="center"/>
            <w:hideMark/>
          </w:tcPr>
          <w:p w14:paraId="6BCECFA6" w14:textId="3411296F"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Acss2</w:t>
            </w:r>
          </w:p>
        </w:tc>
        <w:tc>
          <w:tcPr>
            <w:tcW w:w="1169" w:type="pct"/>
            <w:tcBorders>
              <w:top w:val="nil"/>
              <w:left w:val="nil"/>
              <w:bottom w:val="nil"/>
              <w:right w:val="nil"/>
            </w:tcBorders>
            <w:shd w:val="clear" w:color="auto" w:fill="auto"/>
            <w:noWrap/>
            <w:vAlign w:val="center"/>
            <w:hideMark/>
          </w:tcPr>
          <w:p w14:paraId="78010006" w14:textId="78821ED7"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-3.218 </w:t>
            </w:r>
          </w:p>
        </w:tc>
        <w:tc>
          <w:tcPr>
            <w:tcW w:w="500" w:type="pct"/>
            <w:tcBorders>
              <w:top w:val="nil"/>
              <w:left w:val="nil"/>
              <w:bottom w:val="nil"/>
              <w:right w:val="nil"/>
            </w:tcBorders>
            <w:shd w:val="clear" w:color="auto" w:fill="auto"/>
            <w:noWrap/>
            <w:vAlign w:val="center"/>
            <w:hideMark/>
          </w:tcPr>
          <w:p w14:paraId="596AD599" w14:textId="418D09CA"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72912C51" w14:textId="30783C56"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465E022E" w14:textId="03C6E0C3"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71</w:t>
            </w:r>
            <w:r w:rsidRPr="002C3397">
              <w:rPr>
                <w:rFonts w:ascii="Arial" w:eastAsia="等线" w:hAnsi="Arial" w:cs="Arial"/>
                <w:noProof/>
                <w:color w:val="000000"/>
                <w:kern w:val="0"/>
                <w:szCs w:val="21"/>
              </w:rPr>
              <w:t>]</w:t>
            </w:r>
          </w:p>
        </w:tc>
      </w:tr>
      <w:tr w:rsidR="00916F45" w:rsidRPr="002C3397" w14:paraId="476813FA"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07217000" w14:textId="585C4824"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ENSMUSG00000041939</w:t>
            </w:r>
          </w:p>
        </w:tc>
        <w:tc>
          <w:tcPr>
            <w:tcW w:w="916" w:type="pct"/>
            <w:gridSpan w:val="2"/>
            <w:tcBorders>
              <w:top w:val="nil"/>
              <w:left w:val="nil"/>
              <w:bottom w:val="nil"/>
              <w:right w:val="nil"/>
            </w:tcBorders>
            <w:shd w:val="clear" w:color="auto" w:fill="auto"/>
            <w:noWrap/>
            <w:vAlign w:val="center"/>
            <w:hideMark/>
          </w:tcPr>
          <w:p w14:paraId="28D255D7" w14:textId="61F41C45"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Mvk</w:t>
            </w:r>
          </w:p>
        </w:tc>
        <w:tc>
          <w:tcPr>
            <w:tcW w:w="1169" w:type="pct"/>
            <w:tcBorders>
              <w:top w:val="nil"/>
              <w:left w:val="nil"/>
              <w:bottom w:val="nil"/>
              <w:right w:val="nil"/>
            </w:tcBorders>
            <w:shd w:val="clear" w:color="auto" w:fill="auto"/>
            <w:noWrap/>
            <w:vAlign w:val="center"/>
            <w:hideMark/>
          </w:tcPr>
          <w:p w14:paraId="2833E888" w14:textId="6D64B029"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-2.707 </w:t>
            </w:r>
          </w:p>
        </w:tc>
        <w:tc>
          <w:tcPr>
            <w:tcW w:w="500" w:type="pct"/>
            <w:tcBorders>
              <w:top w:val="nil"/>
              <w:left w:val="nil"/>
              <w:bottom w:val="nil"/>
              <w:right w:val="nil"/>
            </w:tcBorders>
            <w:shd w:val="clear" w:color="auto" w:fill="auto"/>
            <w:noWrap/>
            <w:vAlign w:val="center"/>
            <w:hideMark/>
          </w:tcPr>
          <w:p w14:paraId="6A6C718F" w14:textId="5064CA24"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5D4D7814" w14:textId="6662B0DB"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00047E25" w14:textId="1D9E28D1"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96</w:t>
            </w:r>
            <w:r w:rsidRPr="002C3397">
              <w:rPr>
                <w:rFonts w:ascii="Arial" w:eastAsia="等线" w:hAnsi="Arial" w:cs="Arial"/>
                <w:noProof/>
                <w:color w:val="000000"/>
                <w:kern w:val="0"/>
                <w:szCs w:val="21"/>
              </w:rPr>
              <w:t>]</w:t>
            </w:r>
          </w:p>
        </w:tc>
      </w:tr>
      <w:tr w:rsidR="00916F45" w:rsidRPr="002C3397" w14:paraId="2F53104A"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7ED3430C" w14:textId="56AE8E1B"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ENSMUSG00000025044</w:t>
            </w:r>
          </w:p>
        </w:tc>
        <w:tc>
          <w:tcPr>
            <w:tcW w:w="916" w:type="pct"/>
            <w:gridSpan w:val="2"/>
            <w:tcBorders>
              <w:top w:val="nil"/>
              <w:left w:val="nil"/>
              <w:bottom w:val="nil"/>
              <w:right w:val="nil"/>
            </w:tcBorders>
            <w:shd w:val="clear" w:color="auto" w:fill="auto"/>
            <w:noWrap/>
            <w:vAlign w:val="center"/>
            <w:hideMark/>
          </w:tcPr>
          <w:p w14:paraId="09C01A46" w14:textId="54DC41F0"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Msr1</w:t>
            </w:r>
          </w:p>
        </w:tc>
        <w:tc>
          <w:tcPr>
            <w:tcW w:w="1169" w:type="pct"/>
            <w:tcBorders>
              <w:top w:val="nil"/>
              <w:left w:val="nil"/>
              <w:bottom w:val="nil"/>
              <w:right w:val="nil"/>
            </w:tcBorders>
            <w:shd w:val="clear" w:color="auto" w:fill="auto"/>
            <w:noWrap/>
            <w:vAlign w:val="center"/>
            <w:hideMark/>
          </w:tcPr>
          <w:p w14:paraId="29BCAD19" w14:textId="77EC91F8"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-2.812 </w:t>
            </w:r>
          </w:p>
        </w:tc>
        <w:tc>
          <w:tcPr>
            <w:tcW w:w="500" w:type="pct"/>
            <w:tcBorders>
              <w:top w:val="nil"/>
              <w:left w:val="nil"/>
              <w:bottom w:val="nil"/>
              <w:right w:val="nil"/>
            </w:tcBorders>
            <w:shd w:val="clear" w:color="auto" w:fill="auto"/>
            <w:noWrap/>
            <w:vAlign w:val="center"/>
            <w:hideMark/>
          </w:tcPr>
          <w:p w14:paraId="46495E5D" w14:textId="69DA5880"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07B5FE2A" w14:textId="309B6107"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6BE445B5" w14:textId="3B4E5E0F"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70</w:t>
            </w:r>
            <w:r w:rsidRPr="002C3397">
              <w:rPr>
                <w:rFonts w:ascii="Arial" w:eastAsia="等线" w:hAnsi="Arial" w:cs="Arial"/>
                <w:noProof/>
                <w:color w:val="000000"/>
                <w:kern w:val="0"/>
                <w:szCs w:val="21"/>
              </w:rPr>
              <w:t xml:space="preserve">, </w:t>
            </w:r>
            <w:r w:rsidR="00F05D34" w:rsidRPr="002C3397">
              <w:rPr>
                <w:rFonts w:ascii="Arial" w:eastAsia="等线" w:hAnsi="Arial" w:cs="Arial"/>
                <w:noProof/>
                <w:color w:val="000000"/>
                <w:kern w:val="0"/>
                <w:szCs w:val="21"/>
              </w:rPr>
              <w:t>97</w:t>
            </w:r>
            <w:r w:rsidRPr="002C3397">
              <w:rPr>
                <w:rFonts w:ascii="Arial" w:eastAsia="等线" w:hAnsi="Arial" w:cs="Arial"/>
                <w:noProof/>
                <w:color w:val="000000"/>
                <w:kern w:val="0"/>
                <w:szCs w:val="21"/>
              </w:rPr>
              <w:t>]</w:t>
            </w:r>
          </w:p>
        </w:tc>
      </w:tr>
      <w:tr w:rsidR="00916F45" w:rsidRPr="002C3397" w14:paraId="43C10A56"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20A4B124" w14:textId="3A36AE55"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ENSMUSG00000027322</w:t>
            </w:r>
          </w:p>
        </w:tc>
        <w:tc>
          <w:tcPr>
            <w:tcW w:w="916" w:type="pct"/>
            <w:gridSpan w:val="2"/>
            <w:tcBorders>
              <w:top w:val="nil"/>
              <w:left w:val="nil"/>
              <w:bottom w:val="nil"/>
              <w:right w:val="nil"/>
            </w:tcBorders>
            <w:shd w:val="clear" w:color="auto" w:fill="auto"/>
            <w:noWrap/>
            <w:vAlign w:val="center"/>
            <w:hideMark/>
          </w:tcPr>
          <w:p w14:paraId="692C65C7" w14:textId="247B87C3"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Siglec1</w:t>
            </w:r>
          </w:p>
        </w:tc>
        <w:tc>
          <w:tcPr>
            <w:tcW w:w="1169" w:type="pct"/>
            <w:tcBorders>
              <w:top w:val="nil"/>
              <w:left w:val="nil"/>
              <w:bottom w:val="nil"/>
              <w:right w:val="nil"/>
            </w:tcBorders>
            <w:shd w:val="clear" w:color="auto" w:fill="auto"/>
            <w:noWrap/>
            <w:vAlign w:val="center"/>
            <w:hideMark/>
          </w:tcPr>
          <w:p w14:paraId="674969DE" w14:textId="43096FD7"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-7.931 </w:t>
            </w:r>
          </w:p>
        </w:tc>
        <w:tc>
          <w:tcPr>
            <w:tcW w:w="500" w:type="pct"/>
            <w:tcBorders>
              <w:top w:val="nil"/>
              <w:left w:val="nil"/>
              <w:bottom w:val="nil"/>
              <w:right w:val="nil"/>
            </w:tcBorders>
            <w:shd w:val="clear" w:color="auto" w:fill="auto"/>
            <w:noWrap/>
            <w:vAlign w:val="center"/>
            <w:hideMark/>
          </w:tcPr>
          <w:p w14:paraId="066F5D0B" w14:textId="1423F897"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795117FB" w14:textId="1E51ECCF"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3711DFBC" w14:textId="6472365E"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98</w:t>
            </w:r>
            <w:r w:rsidRPr="002C3397">
              <w:rPr>
                <w:rFonts w:ascii="Arial" w:eastAsia="等线" w:hAnsi="Arial" w:cs="Arial"/>
                <w:noProof/>
                <w:color w:val="000000"/>
                <w:kern w:val="0"/>
                <w:szCs w:val="21"/>
              </w:rPr>
              <w:t>]</w:t>
            </w:r>
          </w:p>
        </w:tc>
      </w:tr>
      <w:tr w:rsidR="00916F45" w:rsidRPr="002C3397" w14:paraId="5812891F"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5FB65351" w14:textId="5684CFE5"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ENSMUSG00000028238</w:t>
            </w:r>
          </w:p>
        </w:tc>
        <w:tc>
          <w:tcPr>
            <w:tcW w:w="916" w:type="pct"/>
            <w:gridSpan w:val="2"/>
            <w:tcBorders>
              <w:top w:val="nil"/>
              <w:left w:val="nil"/>
              <w:bottom w:val="nil"/>
              <w:right w:val="nil"/>
            </w:tcBorders>
            <w:shd w:val="clear" w:color="auto" w:fill="auto"/>
            <w:noWrap/>
            <w:vAlign w:val="center"/>
            <w:hideMark/>
          </w:tcPr>
          <w:p w14:paraId="70A72E9A" w14:textId="6AA8C82D"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Atp6v0d2</w:t>
            </w:r>
          </w:p>
        </w:tc>
        <w:tc>
          <w:tcPr>
            <w:tcW w:w="1169" w:type="pct"/>
            <w:tcBorders>
              <w:top w:val="nil"/>
              <w:left w:val="nil"/>
              <w:bottom w:val="nil"/>
              <w:right w:val="nil"/>
            </w:tcBorders>
            <w:shd w:val="clear" w:color="auto" w:fill="auto"/>
            <w:noWrap/>
            <w:vAlign w:val="center"/>
            <w:hideMark/>
          </w:tcPr>
          <w:p w14:paraId="58B3C487" w14:textId="6E50A7B1"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2.957 </w:t>
            </w:r>
          </w:p>
        </w:tc>
        <w:tc>
          <w:tcPr>
            <w:tcW w:w="500" w:type="pct"/>
            <w:tcBorders>
              <w:top w:val="nil"/>
              <w:left w:val="nil"/>
              <w:bottom w:val="nil"/>
              <w:right w:val="nil"/>
            </w:tcBorders>
            <w:shd w:val="clear" w:color="auto" w:fill="auto"/>
            <w:noWrap/>
            <w:vAlign w:val="center"/>
            <w:hideMark/>
          </w:tcPr>
          <w:p w14:paraId="03874F2E" w14:textId="137A679A"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78F54CE8" w14:textId="4AD4737F"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75945F22" w14:textId="0BB3554F"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99</w:t>
            </w:r>
            <w:r w:rsidRPr="002C3397">
              <w:rPr>
                <w:rFonts w:ascii="Arial" w:eastAsia="等线" w:hAnsi="Arial" w:cs="Arial"/>
                <w:noProof/>
                <w:color w:val="000000"/>
                <w:kern w:val="0"/>
                <w:szCs w:val="21"/>
              </w:rPr>
              <w:t>]</w:t>
            </w:r>
          </w:p>
        </w:tc>
      </w:tr>
      <w:tr w:rsidR="00916F45" w:rsidRPr="002C3397" w14:paraId="307C5720"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5A234825" w14:textId="716AB7E0" w:rsidR="00916F45" w:rsidRPr="002C3397" w:rsidRDefault="00EB0DCF" w:rsidP="00916F45">
            <w:pPr>
              <w:widowControl/>
              <w:jc w:val="left"/>
              <w:rPr>
                <w:rFonts w:ascii="Arial" w:eastAsia="等线" w:hAnsi="Arial" w:cs="Arial"/>
                <w:color w:val="000000"/>
                <w:szCs w:val="21"/>
              </w:rPr>
            </w:pPr>
            <w:r w:rsidRPr="002C3397">
              <w:rPr>
                <w:rFonts w:ascii="Arial" w:eastAsia="等线" w:hAnsi="Arial" w:cs="Arial"/>
                <w:color w:val="000000"/>
                <w:szCs w:val="21"/>
              </w:rPr>
              <w:t>ENSMUSG00000027951</w:t>
            </w:r>
          </w:p>
        </w:tc>
        <w:tc>
          <w:tcPr>
            <w:tcW w:w="916" w:type="pct"/>
            <w:gridSpan w:val="2"/>
            <w:tcBorders>
              <w:top w:val="nil"/>
              <w:left w:val="nil"/>
              <w:bottom w:val="nil"/>
              <w:right w:val="nil"/>
            </w:tcBorders>
            <w:shd w:val="clear" w:color="auto" w:fill="auto"/>
            <w:noWrap/>
            <w:vAlign w:val="center"/>
            <w:hideMark/>
          </w:tcPr>
          <w:p w14:paraId="1693A423" w14:textId="06BE4A59" w:rsidR="00916F45" w:rsidRPr="002C3397" w:rsidRDefault="00EB0DCF"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Adar</w:t>
            </w:r>
          </w:p>
        </w:tc>
        <w:tc>
          <w:tcPr>
            <w:tcW w:w="1169" w:type="pct"/>
            <w:tcBorders>
              <w:top w:val="nil"/>
              <w:left w:val="nil"/>
              <w:bottom w:val="nil"/>
              <w:right w:val="nil"/>
            </w:tcBorders>
            <w:shd w:val="clear" w:color="auto" w:fill="auto"/>
            <w:noWrap/>
            <w:vAlign w:val="center"/>
            <w:hideMark/>
          </w:tcPr>
          <w:p w14:paraId="390C8D62" w14:textId="252B4B91" w:rsidR="00916F45" w:rsidRPr="002C3397" w:rsidRDefault="00EB0DCF"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-2.102</w:t>
            </w:r>
            <w:r w:rsidR="00916F45" w:rsidRPr="002C3397">
              <w:rPr>
                <w:rFonts w:ascii="Arial" w:eastAsia="等线" w:hAnsi="Arial" w:cs="Arial"/>
                <w:color w:val="000000"/>
                <w:szCs w:val="21"/>
              </w:rPr>
              <w:t xml:space="preserve"> </w:t>
            </w:r>
          </w:p>
        </w:tc>
        <w:tc>
          <w:tcPr>
            <w:tcW w:w="500" w:type="pct"/>
            <w:tcBorders>
              <w:top w:val="nil"/>
              <w:left w:val="nil"/>
              <w:bottom w:val="nil"/>
              <w:right w:val="nil"/>
            </w:tcBorders>
            <w:shd w:val="clear" w:color="auto" w:fill="auto"/>
            <w:noWrap/>
            <w:vAlign w:val="center"/>
            <w:hideMark/>
          </w:tcPr>
          <w:p w14:paraId="3198CB0F" w14:textId="0B068555"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4DB2CBDA" w14:textId="703E6F96"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5F433605" w14:textId="075EA962"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100</w:t>
            </w:r>
            <w:r w:rsidRPr="002C3397">
              <w:rPr>
                <w:rFonts w:ascii="Arial" w:eastAsia="等线" w:hAnsi="Arial" w:cs="Arial"/>
                <w:noProof/>
                <w:color w:val="000000"/>
                <w:kern w:val="0"/>
                <w:szCs w:val="21"/>
              </w:rPr>
              <w:t>]</w:t>
            </w:r>
          </w:p>
        </w:tc>
      </w:tr>
      <w:tr w:rsidR="00916F45" w:rsidRPr="002C3397" w14:paraId="794BB3C7"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2D274363" w14:textId="42FCCFFC"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ENSMUSG00000004791</w:t>
            </w:r>
          </w:p>
        </w:tc>
        <w:tc>
          <w:tcPr>
            <w:tcW w:w="916" w:type="pct"/>
            <w:gridSpan w:val="2"/>
            <w:tcBorders>
              <w:top w:val="nil"/>
              <w:left w:val="nil"/>
              <w:bottom w:val="nil"/>
              <w:right w:val="nil"/>
            </w:tcBorders>
            <w:shd w:val="clear" w:color="auto" w:fill="auto"/>
            <w:noWrap/>
            <w:vAlign w:val="center"/>
            <w:hideMark/>
          </w:tcPr>
          <w:p w14:paraId="565101DC" w14:textId="2BB43371"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Pgf</w:t>
            </w:r>
          </w:p>
        </w:tc>
        <w:tc>
          <w:tcPr>
            <w:tcW w:w="1169" w:type="pct"/>
            <w:tcBorders>
              <w:top w:val="nil"/>
              <w:left w:val="nil"/>
              <w:bottom w:val="nil"/>
              <w:right w:val="nil"/>
            </w:tcBorders>
            <w:shd w:val="clear" w:color="auto" w:fill="auto"/>
            <w:noWrap/>
            <w:vAlign w:val="center"/>
            <w:hideMark/>
          </w:tcPr>
          <w:p w14:paraId="7CC1270A" w14:textId="485229CF"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5.765 </w:t>
            </w:r>
          </w:p>
        </w:tc>
        <w:tc>
          <w:tcPr>
            <w:tcW w:w="500" w:type="pct"/>
            <w:tcBorders>
              <w:top w:val="nil"/>
              <w:left w:val="nil"/>
              <w:bottom w:val="nil"/>
              <w:right w:val="nil"/>
            </w:tcBorders>
            <w:shd w:val="clear" w:color="auto" w:fill="auto"/>
            <w:noWrap/>
            <w:vAlign w:val="center"/>
            <w:hideMark/>
          </w:tcPr>
          <w:p w14:paraId="1903ADD6" w14:textId="0660B3FB"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3D30A051" w14:textId="650ADAF7"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0D831866" w14:textId="09669F19"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101</w:t>
            </w:r>
            <w:r w:rsidRPr="002C3397">
              <w:rPr>
                <w:rFonts w:ascii="Arial" w:eastAsia="等线" w:hAnsi="Arial" w:cs="Arial"/>
                <w:noProof/>
                <w:color w:val="000000"/>
                <w:kern w:val="0"/>
                <w:szCs w:val="21"/>
              </w:rPr>
              <w:t>]</w:t>
            </w:r>
          </w:p>
        </w:tc>
      </w:tr>
      <w:tr w:rsidR="00916F45" w:rsidRPr="002C3397" w14:paraId="2F575C79"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683CD85F" w14:textId="636DCFB9"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ENSMUSG00000019947</w:t>
            </w:r>
          </w:p>
        </w:tc>
        <w:tc>
          <w:tcPr>
            <w:tcW w:w="916" w:type="pct"/>
            <w:gridSpan w:val="2"/>
            <w:tcBorders>
              <w:top w:val="nil"/>
              <w:left w:val="nil"/>
              <w:bottom w:val="nil"/>
              <w:right w:val="nil"/>
            </w:tcBorders>
            <w:shd w:val="clear" w:color="auto" w:fill="auto"/>
            <w:noWrap/>
            <w:vAlign w:val="center"/>
            <w:hideMark/>
          </w:tcPr>
          <w:p w14:paraId="014590C1" w14:textId="16D5DBED"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Arid5b</w:t>
            </w:r>
          </w:p>
        </w:tc>
        <w:tc>
          <w:tcPr>
            <w:tcW w:w="1169" w:type="pct"/>
            <w:tcBorders>
              <w:top w:val="nil"/>
              <w:left w:val="nil"/>
              <w:bottom w:val="nil"/>
              <w:right w:val="nil"/>
            </w:tcBorders>
            <w:shd w:val="clear" w:color="auto" w:fill="auto"/>
            <w:noWrap/>
            <w:vAlign w:val="center"/>
            <w:hideMark/>
          </w:tcPr>
          <w:p w14:paraId="64CEE03A" w14:textId="59910543"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2.010 </w:t>
            </w:r>
          </w:p>
        </w:tc>
        <w:tc>
          <w:tcPr>
            <w:tcW w:w="500" w:type="pct"/>
            <w:tcBorders>
              <w:top w:val="nil"/>
              <w:left w:val="nil"/>
              <w:bottom w:val="nil"/>
              <w:right w:val="nil"/>
            </w:tcBorders>
            <w:shd w:val="clear" w:color="auto" w:fill="auto"/>
            <w:noWrap/>
            <w:vAlign w:val="center"/>
            <w:hideMark/>
          </w:tcPr>
          <w:p w14:paraId="6F7D000A" w14:textId="7993574F"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29776550" w14:textId="442367DC"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64767445" w14:textId="3AEA9E36"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102</w:t>
            </w:r>
            <w:r w:rsidRPr="002C3397">
              <w:rPr>
                <w:rFonts w:ascii="Arial" w:eastAsia="等线" w:hAnsi="Arial" w:cs="Arial"/>
                <w:noProof/>
                <w:color w:val="000000"/>
                <w:kern w:val="0"/>
                <w:szCs w:val="21"/>
              </w:rPr>
              <w:t>]</w:t>
            </w:r>
          </w:p>
        </w:tc>
      </w:tr>
      <w:tr w:rsidR="00916F45" w:rsidRPr="002C3397" w14:paraId="687CF5AB"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45836CE4" w14:textId="43F3B347"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ENSMUSG00000039217</w:t>
            </w:r>
          </w:p>
        </w:tc>
        <w:tc>
          <w:tcPr>
            <w:tcW w:w="916" w:type="pct"/>
            <w:gridSpan w:val="2"/>
            <w:tcBorders>
              <w:top w:val="nil"/>
              <w:left w:val="nil"/>
              <w:bottom w:val="nil"/>
              <w:right w:val="nil"/>
            </w:tcBorders>
            <w:shd w:val="clear" w:color="auto" w:fill="auto"/>
            <w:noWrap/>
            <w:vAlign w:val="center"/>
            <w:hideMark/>
          </w:tcPr>
          <w:p w14:paraId="5DF545FC" w14:textId="4377987A"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Il18</w:t>
            </w:r>
          </w:p>
        </w:tc>
        <w:tc>
          <w:tcPr>
            <w:tcW w:w="1169" w:type="pct"/>
            <w:tcBorders>
              <w:top w:val="nil"/>
              <w:left w:val="nil"/>
              <w:bottom w:val="nil"/>
              <w:right w:val="nil"/>
            </w:tcBorders>
            <w:shd w:val="clear" w:color="auto" w:fill="auto"/>
            <w:noWrap/>
            <w:vAlign w:val="center"/>
            <w:hideMark/>
          </w:tcPr>
          <w:p w14:paraId="258AC89D" w14:textId="4280D210"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-4.527 </w:t>
            </w:r>
          </w:p>
        </w:tc>
        <w:tc>
          <w:tcPr>
            <w:tcW w:w="500" w:type="pct"/>
            <w:tcBorders>
              <w:top w:val="nil"/>
              <w:left w:val="nil"/>
              <w:bottom w:val="nil"/>
              <w:right w:val="nil"/>
            </w:tcBorders>
            <w:shd w:val="clear" w:color="auto" w:fill="auto"/>
            <w:noWrap/>
            <w:vAlign w:val="center"/>
            <w:hideMark/>
          </w:tcPr>
          <w:p w14:paraId="583EF05F" w14:textId="34ED89AF"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01985557" w14:textId="66D202AE"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4C0EA280" w14:textId="75598DEF"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103</w:t>
            </w:r>
            <w:r w:rsidRPr="002C3397">
              <w:rPr>
                <w:rFonts w:ascii="Arial" w:eastAsia="等线" w:hAnsi="Arial" w:cs="Arial"/>
                <w:noProof/>
                <w:color w:val="000000"/>
                <w:kern w:val="0"/>
                <w:szCs w:val="21"/>
              </w:rPr>
              <w:t>]</w:t>
            </w:r>
          </w:p>
        </w:tc>
      </w:tr>
      <w:tr w:rsidR="00916F45" w:rsidRPr="002C3397" w14:paraId="45BD9535"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1CE99F61" w14:textId="07A6C265"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ENSMUSG00000038508</w:t>
            </w:r>
          </w:p>
        </w:tc>
        <w:tc>
          <w:tcPr>
            <w:tcW w:w="916" w:type="pct"/>
            <w:gridSpan w:val="2"/>
            <w:tcBorders>
              <w:top w:val="nil"/>
              <w:left w:val="nil"/>
              <w:bottom w:val="nil"/>
              <w:right w:val="nil"/>
            </w:tcBorders>
            <w:shd w:val="clear" w:color="auto" w:fill="auto"/>
            <w:noWrap/>
            <w:vAlign w:val="center"/>
            <w:hideMark/>
          </w:tcPr>
          <w:p w14:paraId="49940230" w14:textId="70D7AD6A"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Gdf15</w:t>
            </w:r>
          </w:p>
        </w:tc>
        <w:tc>
          <w:tcPr>
            <w:tcW w:w="1169" w:type="pct"/>
            <w:tcBorders>
              <w:top w:val="nil"/>
              <w:left w:val="nil"/>
              <w:bottom w:val="nil"/>
              <w:right w:val="nil"/>
            </w:tcBorders>
            <w:shd w:val="clear" w:color="auto" w:fill="auto"/>
            <w:noWrap/>
            <w:vAlign w:val="center"/>
            <w:hideMark/>
          </w:tcPr>
          <w:p w14:paraId="4E24BCE2" w14:textId="23761B8F"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3.277 </w:t>
            </w:r>
          </w:p>
        </w:tc>
        <w:tc>
          <w:tcPr>
            <w:tcW w:w="500" w:type="pct"/>
            <w:tcBorders>
              <w:top w:val="nil"/>
              <w:left w:val="nil"/>
              <w:bottom w:val="nil"/>
              <w:right w:val="nil"/>
            </w:tcBorders>
            <w:shd w:val="clear" w:color="auto" w:fill="auto"/>
            <w:noWrap/>
            <w:vAlign w:val="center"/>
            <w:hideMark/>
          </w:tcPr>
          <w:p w14:paraId="726F14F2" w14:textId="38215F9B"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2A8388DE" w14:textId="64A26AD5"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1326775B" w14:textId="2A7670F8"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104</w:t>
            </w:r>
            <w:r w:rsidRPr="002C3397">
              <w:rPr>
                <w:rFonts w:ascii="Arial" w:eastAsia="等线" w:hAnsi="Arial" w:cs="Arial"/>
                <w:noProof/>
                <w:color w:val="000000"/>
                <w:kern w:val="0"/>
                <w:szCs w:val="21"/>
              </w:rPr>
              <w:t>]</w:t>
            </w:r>
          </w:p>
        </w:tc>
      </w:tr>
      <w:tr w:rsidR="00916F45" w:rsidRPr="002C3397" w14:paraId="25E67DE1"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1511E01B" w14:textId="262C49AB"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ENSMUSG00000002602</w:t>
            </w:r>
          </w:p>
        </w:tc>
        <w:tc>
          <w:tcPr>
            <w:tcW w:w="916" w:type="pct"/>
            <w:gridSpan w:val="2"/>
            <w:tcBorders>
              <w:top w:val="nil"/>
              <w:left w:val="nil"/>
              <w:bottom w:val="nil"/>
              <w:right w:val="nil"/>
            </w:tcBorders>
            <w:shd w:val="clear" w:color="auto" w:fill="auto"/>
            <w:noWrap/>
            <w:vAlign w:val="center"/>
            <w:hideMark/>
          </w:tcPr>
          <w:p w14:paraId="69CF3B15" w14:textId="4A1D767A"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Axl</w:t>
            </w:r>
          </w:p>
        </w:tc>
        <w:tc>
          <w:tcPr>
            <w:tcW w:w="1169" w:type="pct"/>
            <w:tcBorders>
              <w:top w:val="nil"/>
              <w:left w:val="nil"/>
              <w:bottom w:val="nil"/>
              <w:right w:val="nil"/>
            </w:tcBorders>
            <w:shd w:val="clear" w:color="auto" w:fill="auto"/>
            <w:noWrap/>
            <w:vAlign w:val="center"/>
            <w:hideMark/>
          </w:tcPr>
          <w:p w14:paraId="4E1A7536" w14:textId="11A7DFCF"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-6.006 </w:t>
            </w:r>
          </w:p>
        </w:tc>
        <w:tc>
          <w:tcPr>
            <w:tcW w:w="500" w:type="pct"/>
            <w:tcBorders>
              <w:top w:val="nil"/>
              <w:left w:val="nil"/>
              <w:bottom w:val="nil"/>
              <w:right w:val="nil"/>
            </w:tcBorders>
            <w:shd w:val="clear" w:color="auto" w:fill="auto"/>
            <w:noWrap/>
            <w:vAlign w:val="center"/>
            <w:hideMark/>
          </w:tcPr>
          <w:p w14:paraId="680F77A0" w14:textId="25426817"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346D1B41" w14:textId="3831367F"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58BB5631" w14:textId="2D6A6257"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105</w:t>
            </w:r>
            <w:r w:rsidRPr="002C3397">
              <w:rPr>
                <w:rFonts w:ascii="Arial" w:eastAsia="等线" w:hAnsi="Arial" w:cs="Arial"/>
                <w:noProof/>
                <w:color w:val="000000"/>
                <w:kern w:val="0"/>
                <w:szCs w:val="21"/>
              </w:rPr>
              <w:t>]</w:t>
            </w:r>
          </w:p>
        </w:tc>
      </w:tr>
      <w:tr w:rsidR="00916F45" w:rsidRPr="002C3397" w14:paraId="5DED4952"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1677DFAE" w14:textId="6D6C79F9"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ENSMUSG00000031639</w:t>
            </w:r>
          </w:p>
        </w:tc>
        <w:tc>
          <w:tcPr>
            <w:tcW w:w="916" w:type="pct"/>
            <w:gridSpan w:val="2"/>
            <w:tcBorders>
              <w:top w:val="nil"/>
              <w:left w:val="nil"/>
              <w:bottom w:val="nil"/>
              <w:right w:val="nil"/>
            </w:tcBorders>
            <w:shd w:val="clear" w:color="auto" w:fill="auto"/>
            <w:noWrap/>
            <w:vAlign w:val="center"/>
            <w:hideMark/>
          </w:tcPr>
          <w:p w14:paraId="0FCCDFDE" w14:textId="3AE9F4D9"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Tlr3</w:t>
            </w:r>
          </w:p>
        </w:tc>
        <w:tc>
          <w:tcPr>
            <w:tcW w:w="1169" w:type="pct"/>
            <w:tcBorders>
              <w:top w:val="nil"/>
              <w:left w:val="nil"/>
              <w:bottom w:val="nil"/>
              <w:right w:val="nil"/>
            </w:tcBorders>
            <w:shd w:val="clear" w:color="auto" w:fill="auto"/>
            <w:noWrap/>
            <w:vAlign w:val="center"/>
            <w:hideMark/>
          </w:tcPr>
          <w:p w14:paraId="41B51054" w14:textId="3DFA0BB1"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-7.830 </w:t>
            </w:r>
          </w:p>
        </w:tc>
        <w:tc>
          <w:tcPr>
            <w:tcW w:w="500" w:type="pct"/>
            <w:tcBorders>
              <w:top w:val="nil"/>
              <w:left w:val="nil"/>
              <w:bottom w:val="nil"/>
              <w:right w:val="nil"/>
            </w:tcBorders>
            <w:shd w:val="clear" w:color="auto" w:fill="auto"/>
            <w:noWrap/>
            <w:vAlign w:val="center"/>
            <w:hideMark/>
          </w:tcPr>
          <w:p w14:paraId="5A4047B2" w14:textId="46DE5319"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6F0B680E" w14:textId="1BDCCF90"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23A3CC9C" w14:textId="78736B49"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106</w:t>
            </w:r>
            <w:r w:rsidRPr="002C3397">
              <w:rPr>
                <w:rFonts w:ascii="Arial" w:eastAsia="等线" w:hAnsi="Arial" w:cs="Arial"/>
                <w:noProof/>
                <w:color w:val="000000"/>
                <w:kern w:val="0"/>
                <w:szCs w:val="21"/>
              </w:rPr>
              <w:t>]</w:t>
            </w:r>
          </w:p>
        </w:tc>
      </w:tr>
      <w:tr w:rsidR="00916F45" w:rsidRPr="002C3397" w14:paraId="7474A80D"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7322C805" w14:textId="66F23FAB"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ENSMUSG00000021367</w:t>
            </w:r>
          </w:p>
        </w:tc>
        <w:tc>
          <w:tcPr>
            <w:tcW w:w="916" w:type="pct"/>
            <w:gridSpan w:val="2"/>
            <w:tcBorders>
              <w:top w:val="nil"/>
              <w:left w:val="nil"/>
              <w:bottom w:val="nil"/>
              <w:right w:val="nil"/>
            </w:tcBorders>
            <w:shd w:val="clear" w:color="auto" w:fill="auto"/>
            <w:noWrap/>
            <w:vAlign w:val="center"/>
            <w:hideMark/>
          </w:tcPr>
          <w:p w14:paraId="186063FA" w14:textId="5F5EBDE5"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Edn1</w:t>
            </w:r>
          </w:p>
        </w:tc>
        <w:tc>
          <w:tcPr>
            <w:tcW w:w="1169" w:type="pct"/>
            <w:tcBorders>
              <w:top w:val="nil"/>
              <w:left w:val="nil"/>
              <w:bottom w:val="nil"/>
              <w:right w:val="nil"/>
            </w:tcBorders>
            <w:shd w:val="clear" w:color="auto" w:fill="auto"/>
            <w:noWrap/>
            <w:vAlign w:val="center"/>
            <w:hideMark/>
          </w:tcPr>
          <w:p w14:paraId="44E8208C" w14:textId="51C8C537"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6.089 </w:t>
            </w:r>
          </w:p>
        </w:tc>
        <w:tc>
          <w:tcPr>
            <w:tcW w:w="500" w:type="pct"/>
            <w:tcBorders>
              <w:top w:val="nil"/>
              <w:left w:val="nil"/>
              <w:bottom w:val="nil"/>
              <w:right w:val="nil"/>
            </w:tcBorders>
            <w:shd w:val="clear" w:color="auto" w:fill="auto"/>
            <w:noWrap/>
            <w:vAlign w:val="center"/>
            <w:hideMark/>
          </w:tcPr>
          <w:p w14:paraId="18357394" w14:textId="7F72C506"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559FAAA3" w14:textId="4843EC0E"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6962200E" w14:textId="164B1501"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107</w:t>
            </w:r>
            <w:r w:rsidRPr="002C3397">
              <w:rPr>
                <w:rFonts w:ascii="Arial" w:eastAsia="等线" w:hAnsi="Arial" w:cs="Arial"/>
                <w:noProof/>
                <w:color w:val="000000"/>
                <w:kern w:val="0"/>
                <w:szCs w:val="21"/>
              </w:rPr>
              <w:t>]</w:t>
            </w:r>
          </w:p>
        </w:tc>
      </w:tr>
      <w:tr w:rsidR="00916F45" w:rsidRPr="002C3397" w14:paraId="7B9BDA29"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3A5FFB4D" w14:textId="1C03E3D4"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ENSMUSG00000020838</w:t>
            </w:r>
          </w:p>
        </w:tc>
        <w:tc>
          <w:tcPr>
            <w:tcW w:w="916" w:type="pct"/>
            <w:gridSpan w:val="2"/>
            <w:tcBorders>
              <w:top w:val="nil"/>
              <w:left w:val="nil"/>
              <w:bottom w:val="nil"/>
              <w:right w:val="nil"/>
            </w:tcBorders>
            <w:shd w:val="clear" w:color="auto" w:fill="auto"/>
            <w:noWrap/>
            <w:vAlign w:val="center"/>
            <w:hideMark/>
          </w:tcPr>
          <w:p w14:paraId="0F388720" w14:textId="4E8D8884"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Slc6a4</w:t>
            </w:r>
          </w:p>
        </w:tc>
        <w:tc>
          <w:tcPr>
            <w:tcW w:w="1169" w:type="pct"/>
            <w:tcBorders>
              <w:top w:val="nil"/>
              <w:left w:val="nil"/>
              <w:bottom w:val="nil"/>
              <w:right w:val="nil"/>
            </w:tcBorders>
            <w:shd w:val="clear" w:color="auto" w:fill="auto"/>
            <w:noWrap/>
            <w:vAlign w:val="center"/>
            <w:hideMark/>
          </w:tcPr>
          <w:p w14:paraId="06A49B6A" w14:textId="6EC455D0"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-3.319 </w:t>
            </w:r>
          </w:p>
        </w:tc>
        <w:tc>
          <w:tcPr>
            <w:tcW w:w="500" w:type="pct"/>
            <w:tcBorders>
              <w:top w:val="nil"/>
              <w:left w:val="nil"/>
              <w:bottom w:val="nil"/>
              <w:right w:val="nil"/>
            </w:tcBorders>
            <w:shd w:val="clear" w:color="auto" w:fill="auto"/>
            <w:noWrap/>
            <w:vAlign w:val="center"/>
            <w:hideMark/>
          </w:tcPr>
          <w:p w14:paraId="73EADB3D" w14:textId="5F150639"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13E9BA09" w14:textId="490D2FBC"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08929CF3" w14:textId="0455729F"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108</w:t>
            </w:r>
            <w:r w:rsidRPr="002C3397">
              <w:rPr>
                <w:rFonts w:ascii="Arial" w:eastAsia="等线" w:hAnsi="Arial" w:cs="Arial"/>
                <w:noProof/>
                <w:color w:val="000000"/>
                <w:kern w:val="0"/>
                <w:szCs w:val="21"/>
              </w:rPr>
              <w:t>]</w:t>
            </w:r>
          </w:p>
        </w:tc>
      </w:tr>
      <w:tr w:rsidR="00916F45" w:rsidRPr="002C3397" w14:paraId="5949914E"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250D4677" w14:textId="368B752A"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ENSMUSG00000028341</w:t>
            </w:r>
          </w:p>
        </w:tc>
        <w:tc>
          <w:tcPr>
            <w:tcW w:w="916" w:type="pct"/>
            <w:gridSpan w:val="2"/>
            <w:tcBorders>
              <w:top w:val="nil"/>
              <w:left w:val="nil"/>
              <w:bottom w:val="nil"/>
              <w:right w:val="nil"/>
            </w:tcBorders>
            <w:shd w:val="clear" w:color="auto" w:fill="auto"/>
            <w:noWrap/>
            <w:vAlign w:val="center"/>
            <w:hideMark/>
          </w:tcPr>
          <w:p w14:paraId="0955088B" w14:textId="5CECD88B"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Nr4a3</w:t>
            </w:r>
          </w:p>
        </w:tc>
        <w:tc>
          <w:tcPr>
            <w:tcW w:w="1169" w:type="pct"/>
            <w:tcBorders>
              <w:top w:val="nil"/>
              <w:left w:val="nil"/>
              <w:bottom w:val="nil"/>
              <w:right w:val="nil"/>
            </w:tcBorders>
            <w:shd w:val="clear" w:color="auto" w:fill="auto"/>
            <w:noWrap/>
            <w:vAlign w:val="center"/>
            <w:hideMark/>
          </w:tcPr>
          <w:p w14:paraId="1E3570A6" w14:textId="74600BD1"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6.235 </w:t>
            </w:r>
          </w:p>
        </w:tc>
        <w:tc>
          <w:tcPr>
            <w:tcW w:w="500" w:type="pct"/>
            <w:tcBorders>
              <w:top w:val="nil"/>
              <w:left w:val="nil"/>
              <w:bottom w:val="nil"/>
              <w:right w:val="nil"/>
            </w:tcBorders>
            <w:shd w:val="clear" w:color="auto" w:fill="auto"/>
            <w:noWrap/>
            <w:vAlign w:val="center"/>
            <w:hideMark/>
          </w:tcPr>
          <w:p w14:paraId="032F53F8" w14:textId="0C2CA1BD"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49B50565" w14:textId="2F185AA8"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409CC54A" w14:textId="434D1EED"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109</w:t>
            </w:r>
            <w:r w:rsidRPr="002C3397">
              <w:rPr>
                <w:rFonts w:ascii="Arial" w:eastAsia="等线" w:hAnsi="Arial" w:cs="Arial"/>
                <w:noProof/>
                <w:color w:val="000000"/>
                <w:kern w:val="0"/>
                <w:szCs w:val="21"/>
              </w:rPr>
              <w:t>]</w:t>
            </w:r>
          </w:p>
        </w:tc>
      </w:tr>
      <w:tr w:rsidR="00916F45" w:rsidRPr="002C3397" w14:paraId="5CDD3FF4"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76584CFA" w14:textId="376A7513"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ENSMUSG00000032066</w:t>
            </w:r>
          </w:p>
        </w:tc>
        <w:tc>
          <w:tcPr>
            <w:tcW w:w="916" w:type="pct"/>
            <w:gridSpan w:val="2"/>
            <w:tcBorders>
              <w:top w:val="nil"/>
              <w:left w:val="nil"/>
              <w:bottom w:val="nil"/>
              <w:right w:val="nil"/>
            </w:tcBorders>
            <w:shd w:val="clear" w:color="auto" w:fill="auto"/>
            <w:noWrap/>
            <w:vAlign w:val="center"/>
            <w:hideMark/>
          </w:tcPr>
          <w:p w14:paraId="348E0563" w14:textId="26491F59"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Bco2</w:t>
            </w:r>
          </w:p>
        </w:tc>
        <w:tc>
          <w:tcPr>
            <w:tcW w:w="1169" w:type="pct"/>
            <w:tcBorders>
              <w:top w:val="nil"/>
              <w:left w:val="nil"/>
              <w:bottom w:val="nil"/>
              <w:right w:val="nil"/>
            </w:tcBorders>
            <w:shd w:val="clear" w:color="auto" w:fill="auto"/>
            <w:noWrap/>
            <w:vAlign w:val="center"/>
            <w:hideMark/>
          </w:tcPr>
          <w:p w14:paraId="47717677" w14:textId="027C16BD"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-3.424 </w:t>
            </w:r>
          </w:p>
        </w:tc>
        <w:tc>
          <w:tcPr>
            <w:tcW w:w="500" w:type="pct"/>
            <w:tcBorders>
              <w:top w:val="nil"/>
              <w:left w:val="nil"/>
              <w:bottom w:val="nil"/>
              <w:right w:val="nil"/>
            </w:tcBorders>
            <w:shd w:val="clear" w:color="auto" w:fill="auto"/>
            <w:noWrap/>
            <w:vAlign w:val="center"/>
            <w:hideMark/>
          </w:tcPr>
          <w:p w14:paraId="66DA825A" w14:textId="09BF21EF"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67C7AFB4" w14:textId="13E31470"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72AC73A4" w14:textId="7DF1C2DA"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110</w:t>
            </w:r>
            <w:r w:rsidRPr="002C3397">
              <w:rPr>
                <w:rFonts w:ascii="Arial" w:eastAsia="等线" w:hAnsi="Arial" w:cs="Arial"/>
                <w:noProof/>
                <w:color w:val="000000"/>
                <w:kern w:val="0"/>
                <w:szCs w:val="21"/>
              </w:rPr>
              <w:t>]</w:t>
            </w:r>
          </w:p>
        </w:tc>
      </w:tr>
      <w:tr w:rsidR="00916F45" w:rsidRPr="002C3397" w14:paraId="3645457F"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2EEB6AB4" w14:textId="03BBA2E2"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ENSMUSG00000006445</w:t>
            </w:r>
          </w:p>
        </w:tc>
        <w:tc>
          <w:tcPr>
            <w:tcW w:w="916" w:type="pct"/>
            <w:gridSpan w:val="2"/>
            <w:tcBorders>
              <w:top w:val="nil"/>
              <w:left w:val="nil"/>
              <w:bottom w:val="nil"/>
              <w:right w:val="nil"/>
            </w:tcBorders>
            <w:shd w:val="clear" w:color="auto" w:fill="auto"/>
            <w:noWrap/>
            <w:vAlign w:val="center"/>
            <w:hideMark/>
          </w:tcPr>
          <w:p w14:paraId="186946EC" w14:textId="37186318"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Epha2</w:t>
            </w:r>
          </w:p>
        </w:tc>
        <w:tc>
          <w:tcPr>
            <w:tcW w:w="1169" w:type="pct"/>
            <w:tcBorders>
              <w:top w:val="nil"/>
              <w:left w:val="nil"/>
              <w:bottom w:val="nil"/>
              <w:right w:val="nil"/>
            </w:tcBorders>
            <w:shd w:val="clear" w:color="auto" w:fill="auto"/>
            <w:noWrap/>
            <w:vAlign w:val="center"/>
            <w:hideMark/>
          </w:tcPr>
          <w:p w14:paraId="19D282CF" w14:textId="006FAE32"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2.095 </w:t>
            </w:r>
          </w:p>
        </w:tc>
        <w:tc>
          <w:tcPr>
            <w:tcW w:w="500" w:type="pct"/>
            <w:tcBorders>
              <w:top w:val="nil"/>
              <w:left w:val="nil"/>
              <w:bottom w:val="nil"/>
              <w:right w:val="nil"/>
            </w:tcBorders>
            <w:shd w:val="clear" w:color="auto" w:fill="auto"/>
            <w:noWrap/>
            <w:vAlign w:val="center"/>
            <w:hideMark/>
          </w:tcPr>
          <w:p w14:paraId="3BF10615" w14:textId="0D8AD465"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28832707" w14:textId="60E32787"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4A7CF163" w14:textId="4CBE2FEE"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111</w:t>
            </w:r>
            <w:r w:rsidRPr="002C3397">
              <w:rPr>
                <w:rFonts w:ascii="Arial" w:eastAsia="等线" w:hAnsi="Arial" w:cs="Arial"/>
                <w:noProof/>
                <w:color w:val="000000"/>
                <w:kern w:val="0"/>
                <w:szCs w:val="21"/>
              </w:rPr>
              <w:t>]</w:t>
            </w:r>
          </w:p>
        </w:tc>
      </w:tr>
      <w:tr w:rsidR="00916F45" w:rsidRPr="002C3397" w14:paraId="137C1763"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1A87ED82" w14:textId="3F15E9DA"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ENSMUSG00000025036</w:t>
            </w:r>
          </w:p>
        </w:tc>
        <w:tc>
          <w:tcPr>
            <w:tcW w:w="916" w:type="pct"/>
            <w:gridSpan w:val="2"/>
            <w:tcBorders>
              <w:top w:val="nil"/>
              <w:left w:val="nil"/>
              <w:bottom w:val="nil"/>
              <w:right w:val="nil"/>
            </w:tcBorders>
            <w:shd w:val="clear" w:color="auto" w:fill="auto"/>
            <w:noWrap/>
            <w:vAlign w:val="center"/>
            <w:hideMark/>
          </w:tcPr>
          <w:p w14:paraId="6BAF5BEE" w14:textId="461EA901"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Sfxn2</w:t>
            </w:r>
          </w:p>
        </w:tc>
        <w:tc>
          <w:tcPr>
            <w:tcW w:w="1169" w:type="pct"/>
            <w:tcBorders>
              <w:top w:val="nil"/>
              <w:left w:val="nil"/>
              <w:bottom w:val="nil"/>
              <w:right w:val="nil"/>
            </w:tcBorders>
            <w:shd w:val="clear" w:color="auto" w:fill="auto"/>
            <w:noWrap/>
            <w:vAlign w:val="center"/>
            <w:hideMark/>
          </w:tcPr>
          <w:p w14:paraId="4166B325" w14:textId="265D19C7"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-2.745 </w:t>
            </w:r>
          </w:p>
        </w:tc>
        <w:tc>
          <w:tcPr>
            <w:tcW w:w="500" w:type="pct"/>
            <w:tcBorders>
              <w:top w:val="nil"/>
              <w:left w:val="nil"/>
              <w:bottom w:val="nil"/>
              <w:right w:val="nil"/>
            </w:tcBorders>
            <w:shd w:val="clear" w:color="auto" w:fill="auto"/>
            <w:noWrap/>
            <w:vAlign w:val="center"/>
            <w:hideMark/>
          </w:tcPr>
          <w:p w14:paraId="1BF36BAF" w14:textId="4E15C4A3"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6476D8DC" w14:textId="204FD2D5"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3E6A6A48" w14:textId="0D96309D"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112</w:t>
            </w:r>
            <w:r w:rsidRPr="002C3397">
              <w:rPr>
                <w:rFonts w:ascii="Arial" w:eastAsia="等线" w:hAnsi="Arial" w:cs="Arial"/>
                <w:noProof/>
                <w:color w:val="000000"/>
                <w:kern w:val="0"/>
                <w:szCs w:val="21"/>
              </w:rPr>
              <w:t>]</w:t>
            </w:r>
          </w:p>
        </w:tc>
      </w:tr>
      <w:tr w:rsidR="00916F45" w:rsidRPr="002C3397" w14:paraId="6C684477"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1A99F288" w14:textId="184FDFE9"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ENSMUSG00000023034</w:t>
            </w:r>
          </w:p>
        </w:tc>
        <w:tc>
          <w:tcPr>
            <w:tcW w:w="916" w:type="pct"/>
            <w:gridSpan w:val="2"/>
            <w:tcBorders>
              <w:top w:val="nil"/>
              <w:left w:val="nil"/>
              <w:bottom w:val="nil"/>
              <w:right w:val="nil"/>
            </w:tcBorders>
            <w:shd w:val="clear" w:color="auto" w:fill="auto"/>
            <w:noWrap/>
            <w:vAlign w:val="center"/>
            <w:hideMark/>
          </w:tcPr>
          <w:p w14:paraId="1EF9FC69" w14:textId="7C2DD3CD"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Nr4a1</w:t>
            </w:r>
          </w:p>
        </w:tc>
        <w:tc>
          <w:tcPr>
            <w:tcW w:w="1169" w:type="pct"/>
            <w:tcBorders>
              <w:top w:val="nil"/>
              <w:left w:val="nil"/>
              <w:bottom w:val="nil"/>
              <w:right w:val="nil"/>
            </w:tcBorders>
            <w:shd w:val="clear" w:color="auto" w:fill="auto"/>
            <w:noWrap/>
            <w:vAlign w:val="center"/>
            <w:hideMark/>
          </w:tcPr>
          <w:p w14:paraId="77551A0A" w14:textId="386AE98F"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2.696 </w:t>
            </w:r>
          </w:p>
        </w:tc>
        <w:tc>
          <w:tcPr>
            <w:tcW w:w="500" w:type="pct"/>
            <w:tcBorders>
              <w:top w:val="nil"/>
              <w:left w:val="nil"/>
              <w:bottom w:val="nil"/>
              <w:right w:val="nil"/>
            </w:tcBorders>
            <w:shd w:val="clear" w:color="auto" w:fill="auto"/>
            <w:noWrap/>
            <w:vAlign w:val="center"/>
            <w:hideMark/>
          </w:tcPr>
          <w:p w14:paraId="16D4DFEE" w14:textId="1D91F965"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7F9F6F52" w14:textId="5ADB317B"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227E9008" w14:textId="5D8C89CC"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113</w:t>
            </w:r>
            <w:r w:rsidRPr="002C3397">
              <w:rPr>
                <w:rFonts w:ascii="Arial" w:eastAsia="等线" w:hAnsi="Arial" w:cs="Arial"/>
                <w:noProof/>
                <w:color w:val="000000"/>
                <w:kern w:val="0"/>
                <w:szCs w:val="21"/>
              </w:rPr>
              <w:t>]</w:t>
            </w:r>
          </w:p>
        </w:tc>
      </w:tr>
      <w:tr w:rsidR="00916F45" w:rsidRPr="002C3397" w14:paraId="01381C0C"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771786F5" w14:textId="529705CC"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ENSMUSG00000025076</w:t>
            </w:r>
          </w:p>
        </w:tc>
        <w:tc>
          <w:tcPr>
            <w:tcW w:w="916" w:type="pct"/>
            <w:gridSpan w:val="2"/>
            <w:tcBorders>
              <w:top w:val="nil"/>
              <w:left w:val="nil"/>
              <w:bottom w:val="nil"/>
              <w:right w:val="nil"/>
            </w:tcBorders>
            <w:shd w:val="clear" w:color="auto" w:fill="auto"/>
            <w:noWrap/>
            <w:vAlign w:val="center"/>
            <w:hideMark/>
          </w:tcPr>
          <w:p w14:paraId="5CA15D6A" w14:textId="022219A8"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Casp7</w:t>
            </w:r>
          </w:p>
        </w:tc>
        <w:tc>
          <w:tcPr>
            <w:tcW w:w="1169" w:type="pct"/>
            <w:tcBorders>
              <w:top w:val="nil"/>
              <w:left w:val="nil"/>
              <w:bottom w:val="nil"/>
              <w:right w:val="nil"/>
            </w:tcBorders>
            <w:shd w:val="clear" w:color="auto" w:fill="auto"/>
            <w:noWrap/>
            <w:vAlign w:val="center"/>
            <w:hideMark/>
          </w:tcPr>
          <w:p w14:paraId="35898174" w14:textId="14AB6CF1"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-3.026 </w:t>
            </w:r>
          </w:p>
        </w:tc>
        <w:tc>
          <w:tcPr>
            <w:tcW w:w="500" w:type="pct"/>
            <w:tcBorders>
              <w:top w:val="nil"/>
              <w:left w:val="nil"/>
              <w:bottom w:val="nil"/>
              <w:right w:val="nil"/>
            </w:tcBorders>
            <w:shd w:val="clear" w:color="auto" w:fill="auto"/>
            <w:noWrap/>
            <w:vAlign w:val="center"/>
            <w:hideMark/>
          </w:tcPr>
          <w:p w14:paraId="7737FFBA" w14:textId="1A45BEA5"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3A5A7270" w14:textId="693E7B43"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3AE513DF" w14:textId="5E84C094"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114</w:t>
            </w:r>
            <w:r w:rsidRPr="002C3397">
              <w:rPr>
                <w:rFonts w:ascii="Arial" w:eastAsia="等线" w:hAnsi="Arial" w:cs="Arial"/>
                <w:noProof/>
                <w:color w:val="000000"/>
                <w:kern w:val="0"/>
                <w:szCs w:val="21"/>
              </w:rPr>
              <w:t>]</w:t>
            </w:r>
          </w:p>
        </w:tc>
      </w:tr>
      <w:tr w:rsidR="00916F45" w:rsidRPr="002C3397" w14:paraId="38493CF9"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60989727" w14:textId="6133DC2C"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ENSMUSG00000027360</w:t>
            </w:r>
          </w:p>
        </w:tc>
        <w:tc>
          <w:tcPr>
            <w:tcW w:w="916" w:type="pct"/>
            <w:gridSpan w:val="2"/>
            <w:tcBorders>
              <w:top w:val="nil"/>
              <w:left w:val="nil"/>
              <w:bottom w:val="nil"/>
              <w:right w:val="nil"/>
            </w:tcBorders>
            <w:shd w:val="clear" w:color="auto" w:fill="auto"/>
            <w:noWrap/>
            <w:vAlign w:val="center"/>
            <w:hideMark/>
          </w:tcPr>
          <w:p w14:paraId="58EBA61C" w14:textId="149908A5"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Hdc</w:t>
            </w:r>
          </w:p>
        </w:tc>
        <w:tc>
          <w:tcPr>
            <w:tcW w:w="1169" w:type="pct"/>
            <w:tcBorders>
              <w:top w:val="nil"/>
              <w:left w:val="nil"/>
              <w:bottom w:val="nil"/>
              <w:right w:val="nil"/>
            </w:tcBorders>
            <w:shd w:val="clear" w:color="auto" w:fill="auto"/>
            <w:noWrap/>
            <w:vAlign w:val="center"/>
            <w:hideMark/>
          </w:tcPr>
          <w:p w14:paraId="63505789" w14:textId="25B352E1"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-3.293 </w:t>
            </w:r>
          </w:p>
        </w:tc>
        <w:tc>
          <w:tcPr>
            <w:tcW w:w="500" w:type="pct"/>
            <w:tcBorders>
              <w:top w:val="nil"/>
              <w:left w:val="nil"/>
              <w:bottom w:val="nil"/>
              <w:right w:val="nil"/>
            </w:tcBorders>
            <w:shd w:val="clear" w:color="auto" w:fill="auto"/>
            <w:noWrap/>
            <w:vAlign w:val="center"/>
            <w:hideMark/>
          </w:tcPr>
          <w:p w14:paraId="1C3B1B08" w14:textId="0EB57C47"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2288C9D7" w14:textId="794EFFAA"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74B3FEF7" w14:textId="2A8E29EF"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115</w:t>
            </w:r>
            <w:r w:rsidRPr="002C3397">
              <w:rPr>
                <w:rFonts w:ascii="Arial" w:eastAsia="等线" w:hAnsi="Arial" w:cs="Arial"/>
                <w:noProof/>
                <w:color w:val="000000"/>
                <w:kern w:val="0"/>
                <w:szCs w:val="21"/>
              </w:rPr>
              <w:t>]</w:t>
            </w:r>
          </w:p>
        </w:tc>
      </w:tr>
      <w:tr w:rsidR="00916F45" w:rsidRPr="002C3397" w14:paraId="0FAA0C75"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6CB4DE04" w14:textId="7CAAC64E"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ENSMUSG00000022346</w:t>
            </w:r>
          </w:p>
        </w:tc>
        <w:tc>
          <w:tcPr>
            <w:tcW w:w="916" w:type="pct"/>
            <w:gridSpan w:val="2"/>
            <w:tcBorders>
              <w:top w:val="nil"/>
              <w:left w:val="nil"/>
              <w:bottom w:val="nil"/>
              <w:right w:val="nil"/>
            </w:tcBorders>
            <w:shd w:val="clear" w:color="auto" w:fill="auto"/>
            <w:noWrap/>
            <w:vAlign w:val="center"/>
            <w:hideMark/>
          </w:tcPr>
          <w:p w14:paraId="71B63D2E" w14:textId="4DC4C292"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Myc</w:t>
            </w:r>
          </w:p>
        </w:tc>
        <w:tc>
          <w:tcPr>
            <w:tcW w:w="1169" w:type="pct"/>
            <w:tcBorders>
              <w:top w:val="nil"/>
              <w:left w:val="nil"/>
              <w:bottom w:val="nil"/>
              <w:right w:val="nil"/>
            </w:tcBorders>
            <w:shd w:val="clear" w:color="auto" w:fill="auto"/>
            <w:noWrap/>
            <w:vAlign w:val="center"/>
            <w:hideMark/>
          </w:tcPr>
          <w:p w14:paraId="7756061E" w14:textId="30DBF95E"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2.508 </w:t>
            </w:r>
          </w:p>
        </w:tc>
        <w:tc>
          <w:tcPr>
            <w:tcW w:w="500" w:type="pct"/>
            <w:tcBorders>
              <w:top w:val="nil"/>
              <w:left w:val="nil"/>
              <w:bottom w:val="nil"/>
              <w:right w:val="nil"/>
            </w:tcBorders>
            <w:shd w:val="clear" w:color="auto" w:fill="auto"/>
            <w:noWrap/>
            <w:vAlign w:val="center"/>
            <w:hideMark/>
          </w:tcPr>
          <w:p w14:paraId="3A35A935" w14:textId="7A329B6C"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37A916EB" w14:textId="396FBEE2"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6CE105D7" w14:textId="3012CB5C"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116</w:t>
            </w:r>
            <w:r w:rsidRPr="002C3397">
              <w:rPr>
                <w:rFonts w:ascii="Arial" w:eastAsia="等线" w:hAnsi="Arial" w:cs="Arial"/>
                <w:noProof/>
                <w:color w:val="000000"/>
                <w:kern w:val="0"/>
                <w:szCs w:val="21"/>
              </w:rPr>
              <w:t>]</w:t>
            </w:r>
          </w:p>
        </w:tc>
      </w:tr>
      <w:tr w:rsidR="00916F45" w:rsidRPr="002C3397" w14:paraId="35E970D0"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09ACA805" w14:textId="42982345"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ENSMUSG00000059743</w:t>
            </w:r>
          </w:p>
        </w:tc>
        <w:tc>
          <w:tcPr>
            <w:tcW w:w="916" w:type="pct"/>
            <w:gridSpan w:val="2"/>
            <w:tcBorders>
              <w:top w:val="nil"/>
              <w:left w:val="nil"/>
              <w:bottom w:val="nil"/>
              <w:right w:val="nil"/>
            </w:tcBorders>
            <w:shd w:val="clear" w:color="auto" w:fill="auto"/>
            <w:noWrap/>
            <w:vAlign w:val="center"/>
            <w:hideMark/>
          </w:tcPr>
          <w:p w14:paraId="3FB66E2E" w14:textId="1E56A650"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Fdps</w:t>
            </w:r>
          </w:p>
        </w:tc>
        <w:tc>
          <w:tcPr>
            <w:tcW w:w="1169" w:type="pct"/>
            <w:tcBorders>
              <w:top w:val="nil"/>
              <w:left w:val="nil"/>
              <w:bottom w:val="nil"/>
              <w:right w:val="nil"/>
            </w:tcBorders>
            <w:shd w:val="clear" w:color="auto" w:fill="auto"/>
            <w:noWrap/>
            <w:vAlign w:val="center"/>
            <w:hideMark/>
          </w:tcPr>
          <w:p w14:paraId="54ADB48D" w14:textId="46C08CE7"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-3.804 </w:t>
            </w:r>
          </w:p>
        </w:tc>
        <w:tc>
          <w:tcPr>
            <w:tcW w:w="500" w:type="pct"/>
            <w:tcBorders>
              <w:top w:val="nil"/>
              <w:left w:val="nil"/>
              <w:bottom w:val="nil"/>
              <w:right w:val="nil"/>
            </w:tcBorders>
            <w:shd w:val="clear" w:color="auto" w:fill="auto"/>
            <w:noWrap/>
            <w:vAlign w:val="center"/>
            <w:hideMark/>
          </w:tcPr>
          <w:p w14:paraId="26F456E5" w14:textId="2E099D41"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06B66896" w14:textId="2E5A9201"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1ED6EA5B" w14:textId="77E242E5"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117</w:t>
            </w:r>
            <w:r w:rsidRPr="002C3397">
              <w:rPr>
                <w:rFonts w:ascii="Arial" w:eastAsia="等线" w:hAnsi="Arial" w:cs="Arial"/>
                <w:noProof/>
                <w:color w:val="000000"/>
                <w:kern w:val="0"/>
                <w:szCs w:val="21"/>
              </w:rPr>
              <w:t>]</w:t>
            </w:r>
          </w:p>
        </w:tc>
      </w:tr>
      <w:tr w:rsidR="00916F45" w:rsidRPr="002C3397" w14:paraId="7DBD92BA"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5799A78A" w14:textId="0ABD60B5"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ENSMUSG00000048806</w:t>
            </w:r>
          </w:p>
        </w:tc>
        <w:tc>
          <w:tcPr>
            <w:tcW w:w="916" w:type="pct"/>
            <w:gridSpan w:val="2"/>
            <w:tcBorders>
              <w:top w:val="nil"/>
              <w:left w:val="nil"/>
              <w:bottom w:val="nil"/>
              <w:right w:val="nil"/>
            </w:tcBorders>
            <w:shd w:val="clear" w:color="auto" w:fill="auto"/>
            <w:noWrap/>
            <w:vAlign w:val="center"/>
            <w:hideMark/>
          </w:tcPr>
          <w:p w14:paraId="3CBD3A04" w14:textId="426F5916"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Ifnb1</w:t>
            </w:r>
          </w:p>
        </w:tc>
        <w:tc>
          <w:tcPr>
            <w:tcW w:w="1169" w:type="pct"/>
            <w:tcBorders>
              <w:top w:val="nil"/>
              <w:left w:val="nil"/>
              <w:bottom w:val="nil"/>
              <w:right w:val="nil"/>
            </w:tcBorders>
            <w:shd w:val="clear" w:color="auto" w:fill="auto"/>
            <w:noWrap/>
            <w:vAlign w:val="center"/>
            <w:hideMark/>
          </w:tcPr>
          <w:p w14:paraId="42677FF9" w14:textId="19E697D9"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-5.875 </w:t>
            </w:r>
          </w:p>
        </w:tc>
        <w:tc>
          <w:tcPr>
            <w:tcW w:w="500" w:type="pct"/>
            <w:tcBorders>
              <w:top w:val="nil"/>
              <w:left w:val="nil"/>
              <w:bottom w:val="nil"/>
              <w:right w:val="nil"/>
            </w:tcBorders>
            <w:shd w:val="clear" w:color="auto" w:fill="auto"/>
            <w:noWrap/>
            <w:vAlign w:val="center"/>
            <w:hideMark/>
          </w:tcPr>
          <w:p w14:paraId="17A5491A" w14:textId="6F0CBBF8"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3AF23586" w14:textId="09E352A3"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78FC2FAA" w14:textId="3AB5D508"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118</w:t>
            </w:r>
            <w:r w:rsidRPr="002C3397">
              <w:rPr>
                <w:rFonts w:ascii="Arial" w:eastAsia="等线" w:hAnsi="Arial" w:cs="Arial"/>
                <w:noProof/>
                <w:color w:val="000000"/>
                <w:kern w:val="0"/>
                <w:szCs w:val="21"/>
              </w:rPr>
              <w:t>]</w:t>
            </w:r>
          </w:p>
        </w:tc>
      </w:tr>
      <w:tr w:rsidR="00916F45" w:rsidRPr="002C3397" w14:paraId="6CBAC4F0"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6CB2E114" w14:textId="3FAB7700"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ENSMUSG00000028064</w:t>
            </w:r>
          </w:p>
        </w:tc>
        <w:tc>
          <w:tcPr>
            <w:tcW w:w="916" w:type="pct"/>
            <w:gridSpan w:val="2"/>
            <w:tcBorders>
              <w:top w:val="nil"/>
              <w:left w:val="nil"/>
              <w:bottom w:val="nil"/>
              <w:right w:val="nil"/>
            </w:tcBorders>
            <w:shd w:val="clear" w:color="auto" w:fill="auto"/>
            <w:noWrap/>
            <w:vAlign w:val="center"/>
            <w:hideMark/>
          </w:tcPr>
          <w:p w14:paraId="2571B1AE" w14:textId="31C62D98"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Sema4a</w:t>
            </w:r>
          </w:p>
        </w:tc>
        <w:tc>
          <w:tcPr>
            <w:tcW w:w="1169" w:type="pct"/>
            <w:tcBorders>
              <w:top w:val="nil"/>
              <w:left w:val="nil"/>
              <w:bottom w:val="nil"/>
              <w:right w:val="nil"/>
            </w:tcBorders>
            <w:shd w:val="clear" w:color="auto" w:fill="auto"/>
            <w:noWrap/>
            <w:vAlign w:val="center"/>
            <w:hideMark/>
          </w:tcPr>
          <w:p w14:paraId="15BA2BF7" w14:textId="345A89EB"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-2.485 </w:t>
            </w:r>
          </w:p>
        </w:tc>
        <w:tc>
          <w:tcPr>
            <w:tcW w:w="500" w:type="pct"/>
            <w:tcBorders>
              <w:top w:val="nil"/>
              <w:left w:val="nil"/>
              <w:bottom w:val="nil"/>
              <w:right w:val="nil"/>
            </w:tcBorders>
            <w:shd w:val="clear" w:color="auto" w:fill="auto"/>
            <w:noWrap/>
            <w:vAlign w:val="center"/>
            <w:hideMark/>
          </w:tcPr>
          <w:p w14:paraId="22356EB6" w14:textId="4887D910"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76E4F6A2" w14:textId="58E510F5"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48D69FBC" w14:textId="08DC7224"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119</w:t>
            </w:r>
            <w:r w:rsidRPr="002C3397">
              <w:rPr>
                <w:rFonts w:ascii="Arial" w:eastAsia="等线" w:hAnsi="Arial" w:cs="Arial"/>
                <w:noProof/>
                <w:color w:val="000000"/>
                <w:kern w:val="0"/>
                <w:szCs w:val="21"/>
              </w:rPr>
              <w:t>]</w:t>
            </w:r>
          </w:p>
        </w:tc>
      </w:tr>
      <w:tr w:rsidR="00916F45" w:rsidRPr="002C3397" w14:paraId="3B332C79"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54221CA1" w14:textId="334BACB5"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ENSMUSG00000044701</w:t>
            </w:r>
          </w:p>
        </w:tc>
        <w:tc>
          <w:tcPr>
            <w:tcW w:w="916" w:type="pct"/>
            <w:gridSpan w:val="2"/>
            <w:tcBorders>
              <w:top w:val="nil"/>
              <w:left w:val="nil"/>
              <w:bottom w:val="nil"/>
              <w:right w:val="nil"/>
            </w:tcBorders>
            <w:shd w:val="clear" w:color="auto" w:fill="auto"/>
            <w:noWrap/>
            <w:vAlign w:val="center"/>
            <w:hideMark/>
          </w:tcPr>
          <w:p w14:paraId="3BB126A1" w14:textId="5D75B760"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Il27</w:t>
            </w:r>
          </w:p>
        </w:tc>
        <w:tc>
          <w:tcPr>
            <w:tcW w:w="1169" w:type="pct"/>
            <w:tcBorders>
              <w:top w:val="nil"/>
              <w:left w:val="nil"/>
              <w:bottom w:val="nil"/>
              <w:right w:val="nil"/>
            </w:tcBorders>
            <w:shd w:val="clear" w:color="auto" w:fill="auto"/>
            <w:noWrap/>
            <w:vAlign w:val="center"/>
            <w:hideMark/>
          </w:tcPr>
          <w:p w14:paraId="1623B5AC" w14:textId="54459914"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-5.141 </w:t>
            </w:r>
          </w:p>
        </w:tc>
        <w:tc>
          <w:tcPr>
            <w:tcW w:w="500" w:type="pct"/>
            <w:tcBorders>
              <w:top w:val="nil"/>
              <w:left w:val="nil"/>
              <w:bottom w:val="nil"/>
              <w:right w:val="nil"/>
            </w:tcBorders>
            <w:shd w:val="clear" w:color="auto" w:fill="auto"/>
            <w:noWrap/>
            <w:vAlign w:val="center"/>
            <w:hideMark/>
          </w:tcPr>
          <w:p w14:paraId="72FD5063" w14:textId="7FA27C75"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7B01DC0C" w14:textId="2CCB3E4C"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1163C2C1" w14:textId="182569EB"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120</w:t>
            </w:r>
            <w:r w:rsidRPr="002C3397">
              <w:rPr>
                <w:rFonts w:ascii="Arial" w:eastAsia="等线" w:hAnsi="Arial" w:cs="Arial"/>
                <w:noProof/>
                <w:color w:val="000000"/>
                <w:kern w:val="0"/>
                <w:szCs w:val="21"/>
              </w:rPr>
              <w:t>]</w:t>
            </w:r>
          </w:p>
        </w:tc>
      </w:tr>
      <w:tr w:rsidR="00916F45" w:rsidRPr="002C3397" w14:paraId="57F5186A"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353DE6F0" w14:textId="034EA73E"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ENSMUSG00000020593</w:t>
            </w:r>
          </w:p>
        </w:tc>
        <w:tc>
          <w:tcPr>
            <w:tcW w:w="916" w:type="pct"/>
            <w:gridSpan w:val="2"/>
            <w:tcBorders>
              <w:top w:val="nil"/>
              <w:left w:val="nil"/>
              <w:bottom w:val="nil"/>
              <w:right w:val="nil"/>
            </w:tcBorders>
            <w:shd w:val="clear" w:color="auto" w:fill="auto"/>
            <w:noWrap/>
            <w:vAlign w:val="center"/>
            <w:hideMark/>
          </w:tcPr>
          <w:p w14:paraId="22D15BE2" w14:textId="78209E4D"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Lpin1</w:t>
            </w:r>
          </w:p>
        </w:tc>
        <w:tc>
          <w:tcPr>
            <w:tcW w:w="1169" w:type="pct"/>
            <w:tcBorders>
              <w:top w:val="nil"/>
              <w:left w:val="nil"/>
              <w:bottom w:val="nil"/>
              <w:right w:val="nil"/>
            </w:tcBorders>
            <w:shd w:val="clear" w:color="auto" w:fill="auto"/>
            <w:noWrap/>
            <w:vAlign w:val="center"/>
            <w:hideMark/>
          </w:tcPr>
          <w:p w14:paraId="54BEA6A5" w14:textId="5F4E8502"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-2.803 </w:t>
            </w:r>
          </w:p>
        </w:tc>
        <w:tc>
          <w:tcPr>
            <w:tcW w:w="500" w:type="pct"/>
            <w:tcBorders>
              <w:top w:val="nil"/>
              <w:left w:val="nil"/>
              <w:bottom w:val="nil"/>
              <w:right w:val="nil"/>
            </w:tcBorders>
            <w:shd w:val="clear" w:color="auto" w:fill="auto"/>
            <w:noWrap/>
            <w:vAlign w:val="center"/>
            <w:hideMark/>
          </w:tcPr>
          <w:p w14:paraId="310BF4F7" w14:textId="6BD796AA"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32C16639" w14:textId="692543BD"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407B5EEA" w14:textId="633964F9"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121</w:t>
            </w:r>
            <w:r w:rsidRPr="002C3397">
              <w:rPr>
                <w:rFonts w:ascii="Arial" w:eastAsia="等线" w:hAnsi="Arial" w:cs="Arial"/>
                <w:noProof/>
                <w:color w:val="000000"/>
                <w:kern w:val="0"/>
                <w:szCs w:val="21"/>
              </w:rPr>
              <w:t>]</w:t>
            </w:r>
          </w:p>
        </w:tc>
      </w:tr>
      <w:tr w:rsidR="00916F45" w:rsidRPr="002C3397" w14:paraId="092E6E2F"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70B67970" w14:textId="2438ACF5"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ENSMUSG00000039304</w:t>
            </w:r>
          </w:p>
        </w:tc>
        <w:tc>
          <w:tcPr>
            <w:tcW w:w="916" w:type="pct"/>
            <w:gridSpan w:val="2"/>
            <w:tcBorders>
              <w:top w:val="nil"/>
              <w:left w:val="nil"/>
              <w:bottom w:val="nil"/>
              <w:right w:val="nil"/>
            </w:tcBorders>
            <w:shd w:val="clear" w:color="auto" w:fill="auto"/>
            <w:noWrap/>
            <w:vAlign w:val="center"/>
            <w:hideMark/>
          </w:tcPr>
          <w:p w14:paraId="235DC336" w14:textId="702C8D1E"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Tnfsf10</w:t>
            </w:r>
          </w:p>
        </w:tc>
        <w:tc>
          <w:tcPr>
            <w:tcW w:w="1169" w:type="pct"/>
            <w:tcBorders>
              <w:top w:val="nil"/>
              <w:left w:val="nil"/>
              <w:bottom w:val="nil"/>
              <w:right w:val="nil"/>
            </w:tcBorders>
            <w:shd w:val="clear" w:color="auto" w:fill="auto"/>
            <w:noWrap/>
            <w:vAlign w:val="center"/>
            <w:hideMark/>
          </w:tcPr>
          <w:p w14:paraId="5F16BC77" w14:textId="2FCA5844"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-6.820 </w:t>
            </w:r>
          </w:p>
        </w:tc>
        <w:tc>
          <w:tcPr>
            <w:tcW w:w="500" w:type="pct"/>
            <w:tcBorders>
              <w:top w:val="nil"/>
              <w:left w:val="nil"/>
              <w:bottom w:val="nil"/>
              <w:right w:val="nil"/>
            </w:tcBorders>
            <w:shd w:val="clear" w:color="auto" w:fill="auto"/>
            <w:noWrap/>
            <w:vAlign w:val="center"/>
            <w:hideMark/>
          </w:tcPr>
          <w:p w14:paraId="064916DF" w14:textId="6B69877B"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3CFF233B" w14:textId="1568AE4A"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22F76D72" w14:textId="3D47AE9A"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122</w:t>
            </w:r>
            <w:r w:rsidRPr="002C3397">
              <w:rPr>
                <w:rFonts w:ascii="Arial" w:eastAsia="等线" w:hAnsi="Arial" w:cs="Arial"/>
                <w:noProof/>
                <w:color w:val="000000"/>
                <w:kern w:val="0"/>
                <w:szCs w:val="21"/>
              </w:rPr>
              <w:t xml:space="preserve">, </w:t>
            </w:r>
            <w:r w:rsidR="00F05D34" w:rsidRPr="002C3397">
              <w:rPr>
                <w:rFonts w:ascii="Arial" w:eastAsia="等线" w:hAnsi="Arial" w:cs="Arial"/>
                <w:noProof/>
                <w:color w:val="000000"/>
                <w:kern w:val="0"/>
                <w:szCs w:val="21"/>
              </w:rPr>
              <w:t>123</w:t>
            </w:r>
            <w:r w:rsidRPr="002C3397">
              <w:rPr>
                <w:rFonts w:ascii="Arial" w:eastAsia="等线" w:hAnsi="Arial" w:cs="Arial"/>
                <w:noProof/>
                <w:color w:val="000000"/>
                <w:kern w:val="0"/>
                <w:szCs w:val="21"/>
              </w:rPr>
              <w:t>]</w:t>
            </w:r>
          </w:p>
        </w:tc>
      </w:tr>
      <w:tr w:rsidR="00916F45" w:rsidRPr="002C3397" w14:paraId="76FE587F"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5545A44A" w14:textId="685E0D2E"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ENSMUSG00000036353</w:t>
            </w:r>
          </w:p>
        </w:tc>
        <w:tc>
          <w:tcPr>
            <w:tcW w:w="916" w:type="pct"/>
            <w:gridSpan w:val="2"/>
            <w:tcBorders>
              <w:top w:val="nil"/>
              <w:left w:val="nil"/>
              <w:bottom w:val="nil"/>
              <w:right w:val="nil"/>
            </w:tcBorders>
            <w:shd w:val="clear" w:color="auto" w:fill="auto"/>
            <w:noWrap/>
            <w:vAlign w:val="center"/>
            <w:hideMark/>
          </w:tcPr>
          <w:p w14:paraId="6BBC92F5" w14:textId="78DE353F"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P2ry12</w:t>
            </w:r>
          </w:p>
        </w:tc>
        <w:tc>
          <w:tcPr>
            <w:tcW w:w="1169" w:type="pct"/>
            <w:tcBorders>
              <w:top w:val="nil"/>
              <w:left w:val="nil"/>
              <w:bottom w:val="nil"/>
              <w:right w:val="nil"/>
            </w:tcBorders>
            <w:shd w:val="clear" w:color="auto" w:fill="auto"/>
            <w:noWrap/>
            <w:vAlign w:val="center"/>
            <w:hideMark/>
          </w:tcPr>
          <w:p w14:paraId="3C5EA64F" w14:textId="4539F23E"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-4.602 </w:t>
            </w:r>
          </w:p>
        </w:tc>
        <w:tc>
          <w:tcPr>
            <w:tcW w:w="500" w:type="pct"/>
            <w:tcBorders>
              <w:top w:val="nil"/>
              <w:left w:val="nil"/>
              <w:bottom w:val="nil"/>
              <w:right w:val="nil"/>
            </w:tcBorders>
            <w:shd w:val="clear" w:color="auto" w:fill="auto"/>
            <w:noWrap/>
            <w:vAlign w:val="center"/>
            <w:hideMark/>
          </w:tcPr>
          <w:p w14:paraId="161EEE5B" w14:textId="6967F152"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3BAAE1BD" w14:textId="7FB982DC"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25A2F0D8" w14:textId="3CFCD58D"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2</w:t>
            </w:r>
            <w:r w:rsidRPr="002C3397">
              <w:rPr>
                <w:rFonts w:ascii="Arial" w:eastAsia="等线" w:hAnsi="Arial" w:cs="Arial"/>
                <w:noProof/>
                <w:color w:val="000000"/>
                <w:kern w:val="0"/>
                <w:szCs w:val="21"/>
              </w:rPr>
              <w:t>]</w:t>
            </w:r>
          </w:p>
        </w:tc>
      </w:tr>
      <w:tr w:rsidR="00916F45" w:rsidRPr="002C3397" w14:paraId="57F9D904"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1695EBA9" w14:textId="092A47E5"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ENSMUSG00000053846</w:t>
            </w:r>
          </w:p>
        </w:tc>
        <w:tc>
          <w:tcPr>
            <w:tcW w:w="916" w:type="pct"/>
            <w:gridSpan w:val="2"/>
            <w:tcBorders>
              <w:top w:val="nil"/>
              <w:left w:val="nil"/>
              <w:bottom w:val="nil"/>
              <w:right w:val="nil"/>
            </w:tcBorders>
            <w:shd w:val="clear" w:color="auto" w:fill="auto"/>
            <w:noWrap/>
            <w:vAlign w:val="center"/>
            <w:hideMark/>
          </w:tcPr>
          <w:p w14:paraId="107E7F0D" w14:textId="55225F4E"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Lipg</w:t>
            </w:r>
          </w:p>
        </w:tc>
        <w:tc>
          <w:tcPr>
            <w:tcW w:w="1169" w:type="pct"/>
            <w:tcBorders>
              <w:top w:val="nil"/>
              <w:left w:val="nil"/>
              <w:bottom w:val="nil"/>
              <w:right w:val="nil"/>
            </w:tcBorders>
            <w:shd w:val="clear" w:color="auto" w:fill="auto"/>
            <w:noWrap/>
            <w:vAlign w:val="center"/>
            <w:hideMark/>
          </w:tcPr>
          <w:p w14:paraId="5FDCC23A" w14:textId="30A7A860"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-9.920 </w:t>
            </w:r>
          </w:p>
        </w:tc>
        <w:tc>
          <w:tcPr>
            <w:tcW w:w="500" w:type="pct"/>
            <w:tcBorders>
              <w:top w:val="nil"/>
              <w:left w:val="nil"/>
              <w:bottom w:val="nil"/>
              <w:right w:val="nil"/>
            </w:tcBorders>
            <w:shd w:val="clear" w:color="auto" w:fill="auto"/>
            <w:noWrap/>
            <w:vAlign w:val="center"/>
            <w:hideMark/>
          </w:tcPr>
          <w:p w14:paraId="3314273A" w14:textId="4E78367E"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2731B516" w14:textId="52AD8232"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38FCDEBD" w14:textId="7425505E"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124</w:t>
            </w:r>
            <w:r w:rsidRPr="002C3397">
              <w:rPr>
                <w:rFonts w:ascii="Arial" w:eastAsia="等线" w:hAnsi="Arial" w:cs="Arial"/>
                <w:noProof/>
                <w:color w:val="000000"/>
                <w:kern w:val="0"/>
                <w:szCs w:val="21"/>
              </w:rPr>
              <w:t>]</w:t>
            </w:r>
          </w:p>
        </w:tc>
      </w:tr>
      <w:tr w:rsidR="00916F45" w:rsidRPr="002C3397" w14:paraId="6BB7B637"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27075EEC" w14:textId="7A2E6595"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ENSMUSG00000051682</w:t>
            </w:r>
          </w:p>
        </w:tc>
        <w:tc>
          <w:tcPr>
            <w:tcW w:w="916" w:type="pct"/>
            <w:gridSpan w:val="2"/>
            <w:tcBorders>
              <w:top w:val="nil"/>
              <w:left w:val="nil"/>
              <w:bottom w:val="nil"/>
              <w:right w:val="nil"/>
            </w:tcBorders>
            <w:shd w:val="clear" w:color="auto" w:fill="auto"/>
            <w:noWrap/>
            <w:vAlign w:val="center"/>
            <w:hideMark/>
          </w:tcPr>
          <w:p w14:paraId="60D14FDC" w14:textId="3BB0CA4E"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Treml4</w:t>
            </w:r>
          </w:p>
        </w:tc>
        <w:tc>
          <w:tcPr>
            <w:tcW w:w="1169" w:type="pct"/>
            <w:tcBorders>
              <w:top w:val="nil"/>
              <w:left w:val="nil"/>
              <w:bottom w:val="nil"/>
              <w:right w:val="nil"/>
            </w:tcBorders>
            <w:shd w:val="clear" w:color="auto" w:fill="auto"/>
            <w:noWrap/>
            <w:vAlign w:val="center"/>
            <w:hideMark/>
          </w:tcPr>
          <w:p w14:paraId="58F199BD" w14:textId="2E39C53D"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2.733 </w:t>
            </w:r>
          </w:p>
        </w:tc>
        <w:tc>
          <w:tcPr>
            <w:tcW w:w="500" w:type="pct"/>
            <w:tcBorders>
              <w:top w:val="nil"/>
              <w:left w:val="nil"/>
              <w:bottom w:val="nil"/>
              <w:right w:val="nil"/>
            </w:tcBorders>
            <w:shd w:val="clear" w:color="auto" w:fill="auto"/>
            <w:noWrap/>
            <w:vAlign w:val="center"/>
            <w:hideMark/>
          </w:tcPr>
          <w:p w14:paraId="47A3DA4D" w14:textId="222BE8F1"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73FA925D" w14:textId="14A48FC8"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6ECDE42E" w14:textId="097FB72E"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125</w:t>
            </w:r>
            <w:r w:rsidRPr="002C3397">
              <w:rPr>
                <w:rFonts w:ascii="Arial" w:eastAsia="等线" w:hAnsi="Arial" w:cs="Arial"/>
                <w:noProof/>
                <w:color w:val="000000"/>
                <w:kern w:val="0"/>
                <w:szCs w:val="21"/>
              </w:rPr>
              <w:t>]</w:t>
            </w:r>
          </w:p>
        </w:tc>
      </w:tr>
      <w:tr w:rsidR="00916F45" w:rsidRPr="002C3397" w14:paraId="7ADD85C1"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01D63F6A" w14:textId="3612084C"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ENSMUSG00000029361</w:t>
            </w:r>
          </w:p>
        </w:tc>
        <w:tc>
          <w:tcPr>
            <w:tcW w:w="916" w:type="pct"/>
            <w:gridSpan w:val="2"/>
            <w:tcBorders>
              <w:top w:val="nil"/>
              <w:left w:val="nil"/>
              <w:bottom w:val="nil"/>
              <w:right w:val="nil"/>
            </w:tcBorders>
            <w:shd w:val="clear" w:color="auto" w:fill="auto"/>
            <w:noWrap/>
            <w:vAlign w:val="center"/>
            <w:hideMark/>
          </w:tcPr>
          <w:p w14:paraId="134B7A7C" w14:textId="450DE0DA"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Nos1</w:t>
            </w:r>
          </w:p>
        </w:tc>
        <w:tc>
          <w:tcPr>
            <w:tcW w:w="1169" w:type="pct"/>
            <w:tcBorders>
              <w:top w:val="nil"/>
              <w:left w:val="nil"/>
              <w:bottom w:val="nil"/>
              <w:right w:val="nil"/>
            </w:tcBorders>
            <w:shd w:val="clear" w:color="auto" w:fill="auto"/>
            <w:noWrap/>
            <w:vAlign w:val="center"/>
            <w:hideMark/>
          </w:tcPr>
          <w:p w14:paraId="51A6AAA2" w14:textId="501678E9"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3.387 </w:t>
            </w:r>
          </w:p>
        </w:tc>
        <w:tc>
          <w:tcPr>
            <w:tcW w:w="500" w:type="pct"/>
            <w:tcBorders>
              <w:top w:val="nil"/>
              <w:left w:val="nil"/>
              <w:bottom w:val="nil"/>
              <w:right w:val="nil"/>
            </w:tcBorders>
            <w:shd w:val="clear" w:color="auto" w:fill="auto"/>
            <w:noWrap/>
            <w:vAlign w:val="center"/>
            <w:hideMark/>
          </w:tcPr>
          <w:p w14:paraId="01ECF38E" w14:textId="13188F5C"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7A4834DF" w14:textId="34310F4C"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3F214840" w14:textId="0B3E5EBA"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126</w:t>
            </w:r>
            <w:r w:rsidRPr="002C3397">
              <w:rPr>
                <w:rFonts w:ascii="Arial" w:eastAsia="等线" w:hAnsi="Arial" w:cs="Arial"/>
                <w:noProof/>
                <w:color w:val="000000"/>
                <w:kern w:val="0"/>
                <w:szCs w:val="21"/>
              </w:rPr>
              <w:t>]</w:t>
            </w:r>
          </w:p>
        </w:tc>
      </w:tr>
      <w:tr w:rsidR="00916F45" w:rsidRPr="002C3397" w14:paraId="6BA82F89"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1F613A65" w14:textId="6B3C6F5E"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ENSMUSG00000071713</w:t>
            </w:r>
          </w:p>
        </w:tc>
        <w:tc>
          <w:tcPr>
            <w:tcW w:w="916" w:type="pct"/>
            <w:gridSpan w:val="2"/>
            <w:tcBorders>
              <w:top w:val="nil"/>
              <w:left w:val="nil"/>
              <w:bottom w:val="nil"/>
              <w:right w:val="nil"/>
            </w:tcBorders>
            <w:shd w:val="clear" w:color="auto" w:fill="auto"/>
            <w:noWrap/>
            <w:vAlign w:val="center"/>
            <w:hideMark/>
          </w:tcPr>
          <w:p w14:paraId="700A0324" w14:textId="177697A8"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Csf2rb</w:t>
            </w:r>
          </w:p>
        </w:tc>
        <w:tc>
          <w:tcPr>
            <w:tcW w:w="1169" w:type="pct"/>
            <w:tcBorders>
              <w:top w:val="nil"/>
              <w:left w:val="nil"/>
              <w:bottom w:val="nil"/>
              <w:right w:val="nil"/>
            </w:tcBorders>
            <w:shd w:val="clear" w:color="auto" w:fill="auto"/>
            <w:noWrap/>
            <w:vAlign w:val="center"/>
            <w:hideMark/>
          </w:tcPr>
          <w:p w14:paraId="4B275CBC" w14:textId="3B274B7A"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-2.292 </w:t>
            </w:r>
          </w:p>
        </w:tc>
        <w:tc>
          <w:tcPr>
            <w:tcW w:w="500" w:type="pct"/>
            <w:tcBorders>
              <w:top w:val="nil"/>
              <w:left w:val="nil"/>
              <w:bottom w:val="nil"/>
              <w:right w:val="nil"/>
            </w:tcBorders>
            <w:shd w:val="clear" w:color="auto" w:fill="auto"/>
            <w:noWrap/>
            <w:vAlign w:val="center"/>
            <w:hideMark/>
          </w:tcPr>
          <w:p w14:paraId="401D7E6D" w14:textId="79E43EE3"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4687E52D" w14:textId="6DAB156B"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666FD76C" w14:textId="30535C88"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127</w:t>
            </w:r>
            <w:r w:rsidRPr="002C3397">
              <w:rPr>
                <w:rFonts w:ascii="Arial" w:eastAsia="等线" w:hAnsi="Arial" w:cs="Arial"/>
                <w:noProof/>
                <w:color w:val="000000"/>
                <w:kern w:val="0"/>
                <w:szCs w:val="21"/>
              </w:rPr>
              <w:t>]</w:t>
            </w:r>
          </w:p>
        </w:tc>
      </w:tr>
      <w:tr w:rsidR="00916F45" w:rsidRPr="002C3397" w14:paraId="4B219C1B"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2E348ACA" w14:textId="55AA308C"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ENSMUSG00000055994</w:t>
            </w:r>
          </w:p>
        </w:tc>
        <w:tc>
          <w:tcPr>
            <w:tcW w:w="916" w:type="pct"/>
            <w:gridSpan w:val="2"/>
            <w:tcBorders>
              <w:top w:val="nil"/>
              <w:left w:val="nil"/>
              <w:bottom w:val="nil"/>
              <w:right w:val="nil"/>
            </w:tcBorders>
            <w:shd w:val="clear" w:color="auto" w:fill="auto"/>
            <w:noWrap/>
            <w:vAlign w:val="center"/>
            <w:hideMark/>
          </w:tcPr>
          <w:p w14:paraId="30BD3024" w14:textId="34977196"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Nod2</w:t>
            </w:r>
          </w:p>
        </w:tc>
        <w:tc>
          <w:tcPr>
            <w:tcW w:w="1169" w:type="pct"/>
            <w:tcBorders>
              <w:top w:val="nil"/>
              <w:left w:val="nil"/>
              <w:bottom w:val="nil"/>
              <w:right w:val="nil"/>
            </w:tcBorders>
            <w:shd w:val="clear" w:color="auto" w:fill="auto"/>
            <w:noWrap/>
            <w:vAlign w:val="center"/>
            <w:hideMark/>
          </w:tcPr>
          <w:p w14:paraId="64EC96DD" w14:textId="1E34861F"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-2.057 </w:t>
            </w:r>
          </w:p>
        </w:tc>
        <w:tc>
          <w:tcPr>
            <w:tcW w:w="500" w:type="pct"/>
            <w:tcBorders>
              <w:top w:val="nil"/>
              <w:left w:val="nil"/>
              <w:bottom w:val="nil"/>
              <w:right w:val="nil"/>
            </w:tcBorders>
            <w:shd w:val="clear" w:color="auto" w:fill="auto"/>
            <w:noWrap/>
            <w:vAlign w:val="center"/>
            <w:hideMark/>
          </w:tcPr>
          <w:p w14:paraId="6364888E" w14:textId="7E6EB2C6"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22D79B7C" w14:textId="1A2676D8"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4474AD1A" w14:textId="62C0A5A7"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128</w:t>
            </w:r>
            <w:r w:rsidRPr="002C3397">
              <w:rPr>
                <w:rFonts w:ascii="Arial" w:eastAsia="等线" w:hAnsi="Arial" w:cs="Arial"/>
                <w:noProof/>
                <w:color w:val="000000"/>
                <w:kern w:val="0"/>
                <w:szCs w:val="21"/>
              </w:rPr>
              <w:t>]</w:t>
            </w:r>
          </w:p>
        </w:tc>
      </w:tr>
      <w:tr w:rsidR="00916F45" w:rsidRPr="002C3397" w14:paraId="2B4FA579"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636E9398" w14:textId="24CE0CEA"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ENSMUSG00000026365</w:t>
            </w:r>
          </w:p>
        </w:tc>
        <w:tc>
          <w:tcPr>
            <w:tcW w:w="916" w:type="pct"/>
            <w:gridSpan w:val="2"/>
            <w:tcBorders>
              <w:top w:val="nil"/>
              <w:left w:val="nil"/>
              <w:bottom w:val="nil"/>
              <w:right w:val="nil"/>
            </w:tcBorders>
            <w:shd w:val="clear" w:color="auto" w:fill="auto"/>
            <w:noWrap/>
            <w:vAlign w:val="center"/>
            <w:hideMark/>
          </w:tcPr>
          <w:p w14:paraId="24211B9E" w14:textId="0B3506B9"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Cfh</w:t>
            </w:r>
          </w:p>
        </w:tc>
        <w:tc>
          <w:tcPr>
            <w:tcW w:w="1169" w:type="pct"/>
            <w:tcBorders>
              <w:top w:val="nil"/>
              <w:left w:val="nil"/>
              <w:bottom w:val="nil"/>
              <w:right w:val="nil"/>
            </w:tcBorders>
            <w:shd w:val="clear" w:color="auto" w:fill="auto"/>
            <w:noWrap/>
            <w:vAlign w:val="center"/>
            <w:hideMark/>
          </w:tcPr>
          <w:p w14:paraId="252D375E" w14:textId="64DCBE05"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-2.898 </w:t>
            </w:r>
          </w:p>
        </w:tc>
        <w:tc>
          <w:tcPr>
            <w:tcW w:w="500" w:type="pct"/>
            <w:tcBorders>
              <w:top w:val="nil"/>
              <w:left w:val="nil"/>
              <w:bottom w:val="nil"/>
              <w:right w:val="nil"/>
            </w:tcBorders>
            <w:shd w:val="clear" w:color="auto" w:fill="auto"/>
            <w:noWrap/>
            <w:vAlign w:val="center"/>
            <w:hideMark/>
          </w:tcPr>
          <w:p w14:paraId="52B1E91D" w14:textId="630717CD"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0E48E0D2" w14:textId="18331B95"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1CE57F41" w14:textId="31CAC205"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129</w:t>
            </w:r>
            <w:r w:rsidRPr="002C3397">
              <w:rPr>
                <w:rFonts w:ascii="Arial" w:eastAsia="等线" w:hAnsi="Arial" w:cs="Arial"/>
                <w:noProof/>
                <w:color w:val="000000"/>
                <w:kern w:val="0"/>
                <w:szCs w:val="21"/>
              </w:rPr>
              <w:t>]</w:t>
            </w:r>
          </w:p>
        </w:tc>
      </w:tr>
      <w:tr w:rsidR="00916F45" w:rsidRPr="002C3397" w14:paraId="25258C59"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298BEA07" w14:textId="0955D13A"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ENSMUSG00000070385</w:t>
            </w:r>
          </w:p>
        </w:tc>
        <w:tc>
          <w:tcPr>
            <w:tcW w:w="916" w:type="pct"/>
            <w:gridSpan w:val="2"/>
            <w:tcBorders>
              <w:top w:val="nil"/>
              <w:left w:val="nil"/>
              <w:bottom w:val="nil"/>
              <w:right w:val="nil"/>
            </w:tcBorders>
            <w:shd w:val="clear" w:color="auto" w:fill="auto"/>
            <w:noWrap/>
            <w:vAlign w:val="center"/>
            <w:hideMark/>
          </w:tcPr>
          <w:p w14:paraId="779DC490" w14:textId="3D78B904"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Ampd1</w:t>
            </w:r>
          </w:p>
        </w:tc>
        <w:tc>
          <w:tcPr>
            <w:tcW w:w="1169" w:type="pct"/>
            <w:tcBorders>
              <w:top w:val="nil"/>
              <w:left w:val="nil"/>
              <w:bottom w:val="nil"/>
              <w:right w:val="nil"/>
            </w:tcBorders>
            <w:shd w:val="clear" w:color="auto" w:fill="auto"/>
            <w:noWrap/>
            <w:vAlign w:val="center"/>
            <w:hideMark/>
          </w:tcPr>
          <w:p w14:paraId="7A8AC717" w14:textId="56E17425"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3.055 </w:t>
            </w:r>
          </w:p>
        </w:tc>
        <w:tc>
          <w:tcPr>
            <w:tcW w:w="500" w:type="pct"/>
            <w:tcBorders>
              <w:top w:val="nil"/>
              <w:left w:val="nil"/>
              <w:bottom w:val="nil"/>
              <w:right w:val="nil"/>
            </w:tcBorders>
            <w:shd w:val="clear" w:color="auto" w:fill="auto"/>
            <w:noWrap/>
            <w:vAlign w:val="center"/>
            <w:hideMark/>
          </w:tcPr>
          <w:p w14:paraId="3904A415" w14:textId="62F34F3D"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021794AC" w14:textId="7B47C594"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5DAF3232" w14:textId="4588F6E2"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130</w:t>
            </w:r>
            <w:r w:rsidRPr="002C3397">
              <w:rPr>
                <w:rFonts w:ascii="Arial" w:eastAsia="等线" w:hAnsi="Arial" w:cs="Arial"/>
                <w:noProof/>
                <w:color w:val="000000"/>
                <w:kern w:val="0"/>
                <w:szCs w:val="21"/>
              </w:rPr>
              <w:t>]</w:t>
            </w:r>
          </w:p>
        </w:tc>
      </w:tr>
      <w:tr w:rsidR="00916F45" w:rsidRPr="002C3397" w14:paraId="32FAAD2B"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2C85F731" w14:textId="734C7802"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ENSMUSG00000006611</w:t>
            </w:r>
          </w:p>
        </w:tc>
        <w:tc>
          <w:tcPr>
            <w:tcW w:w="916" w:type="pct"/>
            <w:gridSpan w:val="2"/>
            <w:tcBorders>
              <w:top w:val="nil"/>
              <w:left w:val="nil"/>
              <w:bottom w:val="nil"/>
              <w:right w:val="nil"/>
            </w:tcBorders>
            <w:shd w:val="clear" w:color="auto" w:fill="auto"/>
            <w:noWrap/>
            <w:vAlign w:val="center"/>
            <w:hideMark/>
          </w:tcPr>
          <w:p w14:paraId="2A68E9DE" w14:textId="6BF7EFE4"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Hfe</w:t>
            </w:r>
          </w:p>
        </w:tc>
        <w:tc>
          <w:tcPr>
            <w:tcW w:w="1169" w:type="pct"/>
            <w:tcBorders>
              <w:top w:val="nil"/>
              <w:left w:val="nil"/>
              <w:bottom w:val="nil"/>
              <w:right w:val="nil"/>
            </w:tcBorders>
            <w:shd w:val="clear" w:color="auto" w:fill="auto"/>
            <w:noWrap/>
            <w:vAlign w:val="center"/>
            <w:hideMark/>
          </w:tcPr>
          <w:p w14:paraId="15E0C60A" w14:textId="1DDB68CA"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-3.216 </w:t>
            </w:r>
          </w:p>
        </w:tc>
        <w:tc>
          <w:tcPr>
            <w:tcW w:w="500" w:type="pct"/>
            <w:tcBorders>
              <w:top w:val="nil"/>
              <w:left w:val="nil"/>
              <w:bottom w:val="nil"/>
              <w:right w:val="nil"/>
            </w:tcBorders>
            <w:shd w:val="clear" w:color="auto" w:fill="auto"/>
            <w:noWrap/>
            <w:vAlign w:val="center"/>
            <w:hideMark/>
          </w:tcPr>
          <w:p w14:paraId="6B1A1FAF" w14:textId="63E7F894"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643E634D" w14:textId="66B69CBE"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48745C03" w14:textId="1B277076"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131</w:t>
            </w:r>
            <w:r w:rsidRPr="002C3397">
              <w:rPr>
                <w:rFonts w:ascii="Arial" w:eastAsia="等线" w:hAnsi="Arial" w:cs="Arial"/>
                <w:noProof/>
                <w:color w:val="000000"/>
                <w:kern w:val="0"/>
                <w:szCs w:val="21"/>
              </w:rPr>
              <w:t>]</w:t>
            </w:r>
          </w:p>
        </w:tc>
      </w:tr>
      <w:tr w:rsidR="00916F45" w:rsidRPr="002C3397" w14:paraId="7747CDF1"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55D20870" w14:textId="7AC01E37"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ENSMUSG00000027646</w:t>
            </w:r>
          </w:p>
        </w:tc>
        <w:tc>
          <w:tcPr>
            <w:tcW w:w="916" w:type="pct"/>
            <w:gridSpan w:val="2"/>
            <w:tcBorders>
              <w:top w:val="nil"/>
              <w:left w:val="nil"/>
              <w:bottom w:val="nil"/>
              <w:right w:val="nil"/>
            </w:tcBorders>
            <w:shd w:val="clear" w:color="auto" w:fill="auto"/>
            <w:noWrap/>
            <w:vAlign w:val="center"/>
            <w:hideMark/>
          </w:tcPr>
          <w:p w14:paraId="759A84E7" w14:textId="3033E54F"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Src</w:t>
            </w:r>
          </w:p>
        </w:tc>
        <w:tc>
          <w:tcPr>
            <w:tcW w:w="1169" w:type="pct"/>
            <w:tcBorders>
              <w:top w:val="nil"/>
              <w:left w:val="nil"/>
              <w:bottom w:val="nil"/>
              <w:right w:val="nil"/>
            </w:tcBorders>
            <w:shd w:val="clear" w:color="auto" w:fill="auto"/>
            <w:noWrap/>
            <w:vAlign w:val="center"/>
            <w:hideMark/>
          </w:tcPr>
          <w:p w14:paraId="43E9986A" w14:textId="216DD848"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3.244 </w:t>
            </w:r>
          </w:p>
        </w:tc>
        <w:tc>
          <w:tcPr>
            <w:tcW w:w="500" w:type="pct"/>
            <w:tcBorders>
              <w:top w:val="nil"/>
              <w:left w:val="nil"/>
              <w:bottom w:val="nil"/>
              <w:right w:val="nil"/>
            </w:tcBorders>
            <w:shd w:val="clear" w:color="auto" w:fill="auto"/>
            <w:noWrap/>
            <w:vAlign w:val="center"/>
            <w:hideMark/>
          </w:tcPr>
          <w:p w14:paraId="7388F624" w14:textId="70426A64"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6857C8E6" w14:textId="5AC53FA3"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0AC30948" w14:textId="2F6D3E54"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132</w:t>
            </w:r>
            <w:r w:rsidRPr="002C3397">
              <w:rPr>
                <w:rFonts w:ascii="Arial" w:eastAsia="等线" w:hAnsi="Arial" w:cs="Arial"/>
                <w:noProof/>
                <w:color w:val="000000"/>
                <w:kern w:val="0"/>
                <w:szCs w:val="21"/>
              </w:rPr>
              <w:t>]</w:t>
            </w:r>
          </w:p>
        </w:tc>
      </w:tr>
      <w:tr w:rsidR="00916F45" w:rsidRPr="002C3397" w14:paraId="198864FE"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18B49EFF" w14:textId="66FDBBD0"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ENSMUSG00000034394</w:t>
            </w:r>
          </w:p>
        </w:tc>
        <w:tc>
          <w:tcPr>
            <w:tcW w:w="916" w:type="pct"/>
            <w:gridSpan w:val="2"/>
            <w:tcBorders>
              <w:top w:val="nil"/>
              <w:left w:val="nil"/>
              <w:bottom w:val="nil"/>
              <w:right w:val="nil"/>
            </w:tcBorders>
            <w:shd w:val="clear" w:color="auto" w:fill="auto"/>
            <w:noWrap/>
            <w:vAlign w:val="center"/>
            <w:hideMark/>
          </w:tcPr>
          <w:p w14:paraId="64446DA2" w14:textId="3D630870"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Lif</w:t>
            </w:r>
          </w:p>
        </w:tc>
        <w:tc>
          <w:tcPr>
            <w:tcW w:w="1169" w:type="pct"/>
            <w:tcBorders>
              <w:top w:val="nil"/>
              <w:left w:val="nil"/>
              <w:bottom w:val="nil"/>
              <w:right w:val="nil"/>
            </w:tcBorders>
            <w:shd w:val="clear" w:color="auto" w:fill="auto"/>
            <w:noWrap/>
            <w:vAlign w:val="center"/>
            <w:hideMark/>
          </w:tcPr>
          <w:p w14:paraId="302EC741" w14:textId="205868B6"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3.744 </w:t>
            </w:r>
          </w:p>
        </w:tc>
        <w:tc>
          <w:tcPr>
            <w:tcW w:w="500" w:type="pct"/>
            <w:tcBorders>
              <w:top w:val="nil"/>
              <w:left w:val="nil"/>
              <w:bottom w:val="nil"/>
              <w:right w:val="nil"/>
            </w:tcBorders>
            <w:shd w:val="clear" w:color="auto" w:fill="auto"/>
            <w:noWrap/>
            <w:vAlign w:val="center"/>
            <w:hideMark/>
          </w:tcPr>
          <w:p w14:paraId="0D9ED591" w14:textId="2D266F7B"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2173E40F" w14:textId="3ECCAFA9"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7600D8C1" w14:textId="50EE8095"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133</w:t>
            </w:r>
            <w:r w:rsidRPr="002C3397">
              <w:rPr>
                <w:rFonts w:ascii="Arial" w:eastAsia="等线" w:hAnsi="Arial" w:cs="Arial"/>
                <w:noProof/>
                <w:color w:val="000000"/>
                <w:kern w:val="0"/>
                <w:szCs w:val="21"/>
              </w:rPr>
              <w:t>]</w:t>
            </w:r>
          </w:p>
        </w:tc>
      </w:tr>
      <w:tr w:rsidR="00916F45" w:rsidRPr="002C3397" w14:paraId="4E227B82"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209727F0" w14:textId="210BBE24"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ENSMUSG00000022548</w:t>
            </w:r>
          </w:p>
        </w:tc>
        <w:tc>
          <w:tcPr>
            <w:tcW w:w="916" w:type="pct"/>
            <w:gridSpan w:val="2"/>
            <w:tcBorders>
              <w:top w:val="nil"/>
              <w:left w:val="nil"/>
              <w:bottom w:val="nil"/>
              <w:right w:val="nil"/>
            </w:tcBorders>
            <w:shd w:val="clear" w:color="auto" w:fill="auto"/>
            <w:noWrap/>
            <w:vAlign w:val="center"/>
            <w:hideMark/>
          </w:tcPr>
          <w:p w14:paraId="61E3D67C" w14:textId="032CD7F2"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Apod</w:t>
            </w:r>
          </w:p>
        </w:tc>
        <w:tc>
          <w:tcPr>
            <w:tcW w:w="1169" w:type="pct"/>
            <w:tcBorders>
              <w:top w:val="nil"/>
              <w:left w:val="nil"/>
              <w:bottom w:val="nil"/>
              <w:right w:val="nil"/>
            </w:tcBorders>
            <w:shd w:val="clear" w:color="auto" w:fill="auto"/>
            <w:noWrap/>
            <w:vAlign w:val="center"/>
            <w:hideMark/>
          </w:tcPr>
          <w:p w14:paraId="7CA84B01" w14:textId="44680204"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-9.398 </w:t>
            </w:r>
          </w:p>
        </w:tc>
        <w:tc>
          <w:tcPr>
            <w:tcW w:w="500" w:type="pct"/>
            <w:tcBorders>
              <w:top w:val="nil"/>
              <w:left w:val="nil"/>
              <w:bottom w:val="nil"/>
              <w:right w:val="nil"/>
            </w:tcBorders>
            <w:shd w:val="clear" w:color="auto" w:fill="auto"/>
            <w:noWrap/>
            <w:vAlign w:val="center"/>
            <w:hideMark/>
          </w:tcPr>
          <w:p w14:paraId="5F525E25" w14:textId="6D107251"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75F2AA26" w14:textId="02D407EE"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7976658B" w14:textId="56275CDF"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134</w:t>
            </w:r>
            <w:r w:rsidRPr="002C3397">
              <w:rPr>
                <w:rFonts w:ascii="Arial" w:eastAsia="等线" w:hAnsi="Arial" w:cs="Arial"/>
                <w:noProof/>
                <w:color w:val="000000"/>
                <w:kern w:val="0"/>
                <w:szCs w:val="21"/>
              </w:rPr>
              <w:t>]</w:t>
            </w:r>
          </w:p>
        </w:tc>
      </w:tr>
      <w:tr w:rsidR="00916F45" w:rsidRPr="002C3397" w14:paraId="094844DB"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1BE9075D" w14:textId="25F29CD1"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ENSMUSG00000025880</w:t>
            </w:r>
          </w:p>
        </w:tc>
        <w:tc>
          <w:tcPr>
            <w:tcW w:w="916" w:type="pct"/>
            <w:gridSpan w:val="2"/>
            <w:tcBorders>
              <w:top w:val="nil"/>
              <w:left w:val="nil"/>
              <w:bottom w:val="nil"/>
              <w:right w:val="nil"/>
            </w:tcBorders>
            <w:shd w:val="clear" w:color="auto" w:fill="auto"/>
            <w:noWrap/>
            <w:vAlign w:val="center"/>
            <w:hideMark/>
          </w:tcPr>
          <w:p w14:paraId="55CC4C28" w14:textId="54E45003"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Smad7</w:t>
            </w:r>
          </w:p>
        </w:tc>
        <w:tc>
          <w:tcPr>
            <w:tcW w:w="1169" w:type="pct"/>
            <w:tcBorders>
              <w:top w:val="nil"/>
              <w:left w:val="nil"/>
              <w:bottom w:val="nil"/>
              <w:right w:val="nil"/>
            </w:tcBorders>
            <w:shd w:val="clear" w:color="auto" w:fill="auto"/>
            <w:noWrap/>
            <w:vAlign w:val="center"/>
            <w:hideMark/>
          </w:tcPr>
          <w:p w14:paraId="19927E6A" w14:textId="51128BF0"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2.731 </w:t>
            </w:r>
          </w:p>
        </w:tc>
        <w:tc>
          <w:tcPr>
            <w:tcW w:w="500" w:type="pct"/>
            <w:tcBorders>
              <w:top w:val="nil"/>
              <w:left w:val="nil"/>
              <w:bottom w:val="nil"/>
              <w:right w:val="nil"/>
            </w:tcBorders>
            <w:shd w:val="clear" w:color="auto" w:fill="auto"/>
            <w:noWrap/>
            <w:vAlign w:val="center"/>
            <w:hideMark/>
          </w:tcPr>
          <w:p w14:paraId="240860DB" w14:textId="4B454874"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70787BCF" w14:textId="674FBEF1"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5932B4A0" w14:textId="0249E5D6"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135</w:t>
            </w:r>
            <w:r w:rsidRPr="002C3397">
              <w:rPr>
                <w:rFonts w:ascii="Arial" w:eastAsia="等线" w:hAnsi="Arial" w:cs="Arial"/>
                <w:noProof/>
                <w:color w:val="000000"/>
                <w:kern w:val="0"/>
                <w:szCs w:val="21"/>
              </w:rPr>
              <w:t>]</w:t>
            </w:r>
          </w:p>
        </w:tc>
      </w:tr>
      <w:tr w:rsidR="00916F45" w:rsidRPr="002C3397" w14:paraId="5F2A2C71"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34863A29" w14:textId="0434802B"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ENSMUSG00000010051</w:t>
            </w:r>
          </w:p>
        </w:tc>
        <w:tc>
          <w:tcPr>
            <w:tcW w:w="916" w:type="pct"/>
            <w:gridSpan w:val="2"/>
            <w:tcBorders>
              <w:top w:val="nil"/>
              <w:left w:val="nil"/>
              <w:bottom w:val="nil"/>
              <w:right w:val="nil"/>
            </w:tcBorders>
            <w:shd w:val="clear" w:color="auto" w:fill="auto"/>
            <w:noWrap/>
            <w:vAlign w:val="center"/>
            <w:hideMark/>
          </w:tcPr>
          <w:p w14:paraId="1C71FE01" w14:textId="5ACAE444"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Hyal1</w:t>
            </w:r>
          </w:p>
        </w:tc>
        <w:tc>
          <w:tcPr>
            <w:tcW w:w="1169" w:type="pct"/>
            <w:tcBorders>
              <w:top w:val="nil"/>
              <w:left w:val="nil"/>
              <w:bottom w:val="nil"/>
              <w:right w:val="nil"/>
            </w:tcBorders>
            <w:shd w:val="clear" w:color="auto" w:fill="auto"/>
            <w:noWrap/>
            <w:vAlign w:val="center"/>
            <w:hideMark/>
          </w:tcPr>
          <w:p w14:paraId="5C2A2E4C" w14:textId="107D2B10"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2.130 </w:t>
            </w:r>
          </w:p>
        </w:tc>
        <w:tc>
          <w:tcPr>
            <w:tcW w:w="500" w:type="pct"/>
            <w:tcBorders>
              <w:top w:val="nil"/>
              <w:left w:val="nil"/>
              <w:bottom w:val="nil"/>
              <w:right w:val="nil"/>
            </w:tcBorders>
            <w:shd w:val="clear" w:color="auto" w:fill="auto"/>
            <w:noWrap/>
            <w:vAlign w:val="center"/>
            <w:hideMark/>
          </w:tcPr>
          <w:p w14:paraId="593F13D1" w14:textId="201E603A"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63E81C94" w14:textId="643BF7BC"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5A9D49EF" w14:textId="07099C27"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136</w:t>
            </w:r>
            <w:r w:rsidRPr="002C3397">
              <w:rPr>
                <w:rFonts w:ascii="Arial" w:eastAsia="等线" w:hAnsi="Arial" w:cs="Arial"/>
                <w:noProof/>
                <w:color w:val="000000"/>
                <w:kern w:val="0"/>
                <w:szCs w:val="21"/>
              </w:rPr>
              <w:t>]</w:t>
            </w:r>
          </w:p>
        </w:tc>
      </w:tr>
      <w:tr w:rsidR="00916F45" w:rsidRPr="002C3397" w14:paraId="2DBB2F66"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6FF7C3FD" w14:textId="553B401F"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ENSMUSG00000038037</w:t>
            </w:r>
          </w:p>
        </w:tc>
        <w:tc>
          <w:tcPr>
            <w:tcW w:w="916" w:type="pct"/>
            <w:gridSpan w:val="2"/>
            <w:tcBorders>
              <w:top w:val="nil"/>
              <w:left w:val="nil"/>
              <w:bottom w:val="nil"/>
              <w:right w:val="nil"/>
            </w:tcBorders>
            <w:shd w:val="clear" w:color="auto" w:fill="auto"/>
            <w:noWrap/>
            <w:vAlign w:val="center"/>
            <w:hideMark/>
          </w:tcPr>
          <w:p w14:paraId="0F26B20E" w14:textId="754A0040"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Socs1</w:t>
            </w:r>
          </w:p>
        </w:tc>
        <w:tc>
          <w:tcPr>
            <w:tcW w:w="1169" w:type="pct"/>
            <w:tcBorders>
              <w:top w:val="nil"/>
              <w:left w:val="nil"/>
              <w:bottom w:val="nil"/>
              <w:right w:val="nil"/>
            </w:tcBorders>
            <w:shd w:val="clear" w:color="auto" w:fill="auto"/>
            <w:noWrap/>
            <w:vAlign w:val="center"/>
            <w:hideMark/>
          </w:tcPr>
          <w:p w14:paraId="5A89815A" w14:textId="02FCEFBD"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-2.085 </w:t>
            </w:r>
          </w:p>
        </w:tc>
        <w:tc>
          <w:tcPr>
            <w:tcW w:w="500" w:type="pct"/>
            <w:tcBorders>
              <w:top w:val="nil"/>
              <w:left w:val="nil"/>
              <w:bottom w:val="nil"/>
              <w:right w:val="nil"/>
            </w:tcBorders>
            <w:shd w:val="clear" w:color="auto" w:fill="auto"/>
            <w:noWrap/>
            <w:vAlign w:val="center"/>
            <w:hideMark/>
          </w:tcPr>
          <w:p w14:paraId="6834315C" w14:textId="7885A741"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35568431" w14:textId="362E48E7"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531A299C" w14:textId="6270DB20"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137</w:t>
            </w:r>
            <w:r w:rsidRPr="002C3397">
              <w:rPr>
                <w:rFonts w:ascii="Arial" w:eastAsia="等线" w:hAnsi="Arial" w:cs="Arial"/>
                <w:noProof/>
                <w:color w:val="000000"/>
                <w:kern w:val="0"/>
                <w:szCs w:val="21"/>
              </w:rPr>
              <w:t>]</w:t>
            </w:r>
          </w:p>
        </w:tc>
      </w:tr>
      <w:tr w:rsidR="00916F45" w:rsidRPr="002C3397" w14:paraId="371A52E0"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01161AD9" w14:textId="71632BBF"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ENSMUSG00000032238</w:t>
            </w:r>
          </w:p>
        </w:tc>
        <w:tc>
          <w:tcPr>
            <w:tcW w:w="916" w:type="pct"/>
            <w:gridSpan w:val="2"/>
            <w:tcBorders>
              <w:top w:val="nil"/>
              <w:left w:val="nil"/>
              <w:bottom w:val="nil"/>
              <w:right w:val="nil"/>
            </w:tcBorders>
            <w:shd w:val="clear" w:color="auto" w:fill="auto"/>
            <w:noWrap/>
            <w:vAlign w:val="center"/>
            <w:hideMark/>
          </w:tcPr>
          <w:p w14:paraId="4810B28D" w14:textId="75F44127"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Rora</w:t>
            </w:r>
          </w:p>
        </w:tc>
        <w:tc>
          <w:tcPr>
            <w:tcW w:w="1169" w:type="pct"/>
            <w:tcBorders>
              <w:top w:val="nil"/>
              <w:left w:val="nil"/>
              <w:bottom w:val="nil"/>
              <w:right w:val="nil"/>
            </w:tcBorders>
            <w:shd w:val="clear" w:color="auto" w:fill="auto"/>
            <w:noWrap/>
            <w:vAlign w:val="center"/>
            <w:hideMark/>
          </w:tcPr>
          <w:p w14:paraId="439E9C26" w14:textId="2CA23104"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3.546 </w:t>
            </w:r>
          </w:p>
        </w:tc>
        <w:tc>
          <w:tcPr>
            <w:tcW w:w="500" w:type="pct"/>
            <w:tcBorders>
              <w:top w:val="nil"/>
              <w:left w:val="nil"/>
              <w:bottom w:val="nil"/>
              <w:right w:val="nil"/>
            </w:tcBorders>
            <w:shd w:val="clear" w:color="auto" w:fill="auto"/>
            <w:noWrap/>
            <w:vAlign w:val="center"/>
            <w:hideMark/>
          </w:tcPr>
          <w:p w14:paraId="36D92357" w14:textId="451F7F9A"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432D89A9" w14:textId="1300AAE9"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4506F60E" w14:textId="0FDD6BFE"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138</w:t>
            </w:r>
            <w:r w:rsidRPr="002C3397">
              <w:rPr>
                <w:rFonts w:ascii="Arial" w:eastAsia="等线" w:hAnsi="Arial" w:cs="Arial"/>
                <w:noProof/>
                <w:color w:val="000000"/>
                <w:kern w:val="0"/>
                <w:szCs w:val="21"/>
              </w:rPr>
              <w:t>]</w:t>
            </w:r>
          </w:p>
        </w:tc>
      </w:tr>
      <w:tr w:rsidR="00916F45" w:rsidRPr="002C3397" w14:paraId="092983DA"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07EA2269" w14:textId="4E93D782" w:rsidR="00916F45" w:rsidRPr="002C3397" w:rsidRDefault="00916F45" w:rsidP="00916F45">
            <w:pPr>
              <w:widowControl/>
              <w:jc w:val="left"/>
              <w:rPr>
                <w:rFonts w:ascii="Arial" w:eastAsia="等线" w:hAnsi="Arial" w:cs="Arial"/>
                <w:color w:val="000000"/>
                <w:kern w:val="0"/>
                <w:szCs w:val="21"/>
              </w:rPr>
            </w:pPr>
            <w:bookmarkStart w:id="0" w:name="_Hlk46777656"/>
            <w:r w:rsidRPr="002C3397">
              <w:rPr>
                <w:rFonts w:ascii="Arial" w:eastAsia="等线" w:hAnsi="Arial" w:cs="Arial"/>
                <w:color w:val="000000"/>
                <w:szCs w:val="21"/>
              </w:rPr>
              <w:t>ENSMUSG00000036362</w:t>
            </w:r>
          </w:p>
        </w:tc>
        <w:tc>
          <w:tcPr>
            <w:tcW w:w="916" w:type="pct"/>
            <w:gridSpan w:val="2"/>
            <w:tcBorders>
              <w:top w:val="nil"/>
              <w:left w:val="nil"/>
              <w:bottom w:val="nil"/>
              <w:right w:val="nil"/>
            </w:tcBorders>
            <w:shd w:val="clear" w:color="auto" w:fill="auto"/>
            <w:noWrap/>
            <w:vAlign w:val="center"/>
            <w:hideMark/>
          </w:tcPr>
          <w:p w14:paraId="3C36D11D" w14:textId="0291757B"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P2ry13</w:t>
            </w:r>
          </w:p>
        </w:tc>
        <w:tc>
          <w:tcPr>
            <w:tcW w:w="1169" w:type="pct"/>
            <w:tcBorders>
              <w:top w:val="nil"/>
              <w:left w:val="nil"/>
              <w:bottom w:val="nil"/>
              <w:right w:val="nil"/>
            </w:tcBorders>
            <w:shd w:val="clear" w:color="auto" w:fill="auto"/>
            <w:noWrap/>
            <w:vAlign w:val="center"/>
            <w:hideMark/>
          </w:tcPr>
          <w:p w14:paraId="1E011D81" w14:textId="48E437F9"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-5.457 </w:t>
            </w:r>
          </w:p>
        </w:tc>
        <w:tc>
          <w:tcPr>
            <w:tcW w:w="500" w:type="pct"/>
            <w:tcBorders>
              <w:top w:val="nil"/>
              <w:left w:val="nil"/>
              <w:bottom w:val="nil"/>
              <w:right w:val="nil"/>
            </w:tcBorders>
            <w:shd w:val="clear" w:color="auto" w:fill="auto"/>
            <w:noWrap/>
            <w:vAlign w:val="center"/>
            <w:hideMark/>
          </w:tcPr>
          <w:p w14:paraId="2BD59AC8" w14:textId="2D523D90"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3C9FB7FC" w14:textId="5EA6B154"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56620368" w14:textId="26E3526D"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139</w:t>
            </w:r>
            <w:r w:rsidRPr="002C3397">
              <w:rPr>
                <w:rFonts w:ascii="Arial" w:eastAsia="等线" w:hAnsi="Arial" w:cs="Arial"/>
                <w:noProof/>
                <w:color w:val="000000"/>
                <w:kern w:val="0"/>
                <w:szCs w:val="21"/>
              </w:rPr>
              <w:t>]</w:t>
            </w:r>
          </w:p>
        </w:tc>
      </w:tr>
      <w:bookmarkEnd w:id="0"/>
      <w:tr w:rsidR="00916F45" w:rsidRPr="002C3397" w14:paraId="581F4B4B"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18B3F839" w14:textId="2A2FE19D"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ENSMUSG00000001930</w:t>
            </w:r>
          </w:p>
        </w:tc>
        <w:tc>
          <w:tcPr>
            <w:tcW w:w="916" w:type="pct"/>
            <w:gridSpan w:val="2"/>
            <w:tcBorders>
              <w:top w:val="nil"/>
              <w:left w:val="nil"/>
              <w:bottom w:val="nil"/>
              <w:right w:val="nil"/>
            </w:tcBorders>
            <w:shd w:val="clear" w:color="auto" w:fill="auto"/>
            <w:noWrap/>
            <w:vAlign w:val="center"/>
            <w:hideMark/>
          </w:tcPr>
          <w:p w14:paraId="4B4654C2" w14:textId="30D0A04C"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Vwf</w:t>
            </w:r>
          </w:p>
        </w:tc>
        <w:tc>
          <w:tcPr>
            <w:tcW w:w="1169" w:type="pct"/>
            <w:tcBorders>
              <w:top w:val="nil"/>
              <w:left w:val="nil"/>
              <w:bottom w:val="nil"/>
              <w:right w:val="nil"/>
            </w:tcBorders>
            <w:shd w:val="clear" w:color="auto" w:fill="auto"/>
            <w:noWrap/>
            <w:vAlign w:val="center"/>
            <w:hideMark/>
          </w:tcPr>
          <w:p w14:paraId="642E7D34" w14:textId="42613F0F"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4.452 </w:t>
            </w:r>
          </w:p>
        </w:tc>
        <w:tc>
          <w:tcPr>
            <w:tcW w:w="500" w:type="pct"/>
            <w:tcBorders>
              <w:top w:val="nil"/>
              <w:left w:val="nil"/>
              <w:bottom w:val="nil"/>
              <w:right w:val="nil"/>
            </w:tcBorders>
            <w:shd w:val="clear" w:color="auto" w:fill="auto"/>
            <w:noWrap/>
            <w:vAlign w:val="center"/>
            <w:hideMark/>
          </w:tcPr>
          <w:p w14:paraId="66860EDA" w14:textId="1689872E"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3FF4AEAA" w14:textId="5008DBD9"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28DD980F" w14:textId="5C60B98C"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140</w:t>
            </w:r>
            <w:r w:rsidRPr="002C3397">
              <w:rPr>
                <w:rFonts w:ascii="Arial" w:eastAsia="等线" w:hAnsi="Arial" w:cs="Arial"/>
                <w:noProof/>
                <w:color w:val="000000"/>
                <w:kern w:val="0"/>
                <w:szCs w:val="21"/>
              </w:rPr>
              <w:t>]</w:t>
            </w:r>
          </w:p>
        </w:tc>
      </w:tr>
      <w:tr w:rsidR="00916F45" w:rsidRPr="002C3397" w14:paraId="36F80E85"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43985FE7" w14:textId="7B5E3AFB"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ENSMUSG00000037820</w:t>
            </w:r>
          </w:p>
        </w:tc>
        <w:tc>
          <w:tcPr>
            <w:tcW w:w="916" w:type="pct"/>
            <w:gridSpan w:val="2"/>
            <w:tcBorders>
              <w:top w:val="nil"/>
              <w:left w:val="nil"/>
              <w:bottom w:val="nil"/>
              <w:right w:val="nil"/>
            </w:tcBorders>
            <w:shd w:val="clear" w:color="auto" w:fill="auto"/>
            <w:noWrap/>
            <w:vAlign w:val="center"/>
            <w:hideMark/>
          </w:tcPr>
          <w:p w14:paraId="47A3EAB9" w14:textId="3480305E"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Tgm2</w:t>
            </w:r>
          </w:p>
        </w:tc>
        <w:tc>
          <w:tcPr>
            <w:tcW w:w="1169" w:type="pct"/>
            <w:tcBorders>
              <w:top w:val="nil"/>
              <w:left w:val="nil"/>
              <w:bottom w:val="nil"/>
              <w:right w:val="nil"/>
            </w:tcBorders>
            <w:shd w:val="clear" w:color="auto" w:fill="auto"/>
            <w:noWrap/>
            <w:vAlign w:val="center"/>
            <w:hideMark/>
          </w:tcPr>
          <w:p w14:paraId="767091D2" w14:textId="1D1B7AA6"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6.882 </w:t>
            </w:r>
          </w:p>
        </w:tc>
        <w:tc>
          <w:tcPr>
            <w:tcW w:w="500" w:type="pct"/>
            <w:tcBorders>
              <w:top w:val="nil"/>
              <w:left w:val="nil"/>
              <w:bottom w:val="nil"/>
              <w:right w:val="nil"/>
            </w:tcBorders>
            <w:shd w:val="clear" w:color="auto" w:fill="auto"/>
            <w:noWrap/>
            <w:vAlign w:val="center"/>
            <w:hideMark/>
          </w:tcPr>
          <w:p w14:paraId="57972497" w14:textId="36FFC78B"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5C63A612" w14:textId="7155E787"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75E6EBFC" w14:textId="006411C6"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141</w:t>
            </w:r>
            <w:r w:rsidRPr="002C3397">
              <w:rPr>
                <w:rFonts w:ascii="Arial" w:eastAsia="等线" w:hAnsi="Arial" w:cs="Arial"/>
                <w:noProof/>
                <w:color w:val="000000"/>
                <w:kern w:val="0"/>
                <w:szCs w:val="21"/>
              </w:rPr>
              <w:t>]</w:t>
            </w:r>
          </w:p>
        </w:tc>
      </w:tr>
      <w:tr w:rsidR="00916F45" w:rsidRPr="002C3397" w14:paraId="5F90A612"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6551D46A" w14:textId="743CD2CC" w:rsidR="00916F45" w:rsidRPr="002C3397" w:rsidRDefault="007E380C"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ENSMUSG00000037411</w:t>
            </w:r>
          </w:p>
        </w:tc>
        <w:tc>
          <w:tcPr>
            <w:tcW w:w="916" w:type="pct"/>
            <w:gridSpan w:val="2"/>
            <w:tcBorders>
              <w:top w:val="nil"/>
              <w:left w:val="nil"/>
              <w:bottom w:val="nil"/>
              <w:right w:val="nil"/>
            </w:tcBorders>
            <w:shd w:val="clear" w:color="auto" w:fill="auto"/>
            <w:noWrap/>
            <w:vAlign w:val="center"/>
            <w:hideMark/>
          </w:tcPr>
          <w:p w14:paraId="0F4EC705" w14:textId="05423C57" w:rsidR="00916F45" w:rsidRPr="002C3397" w:rsidRDefault="007E380C"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Serpine1</w:t>
            </w:r>
          </w:p>
        </w:tc>
        <w:tc>
          <w:tcPr>
            <w:tcW w:w="1169" w:type="pct"/>
            <w:tcBorders>
              <w:top w:val="nil"/>
              <w:left w:val="nil"/>
              <w:bottom w:val="nil"/>
              <w:right w:val="nil"/>
            </w:tcBorders>
            <w:shd w:val="clear" w:color="auto" w:fill="auto"/>
            <w:noWrap/>
            <w:vAlign w:val="center"/>
            <w:hideMark/>
          </w:tcPr>
          <w:p w14:paraId="5C35BC7E" w14:textId="07FCEA0E" w:rsidR="00916F45" w:rsidRPr="002C3397" w:rsidRDefault="007E380C"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4.053</w:t>
            </w:r>
            <w:r w:rsidR="00916F45" w:rsidRPr="002C3397">
              <w:rPr>
                <w:rFonts w:ascii="Arial" w:eastAsia="等线" w:hAnsi="Arial" w:cs="Arial"/>
                <w:color w:val="000000"/>
                <w:szCs w:val="21"/>
              </w:rPr>
              <w:t xml:space="preserve"> </w:t>
            </w:r>
          </w:p>
        </w:tc>
        <w:tc>
          <w:tcPr>
            <w:tcW w:w="500" w:type="pct"/>
            <w:tcBorders>
              <w:top w:val="nil"/>
              <w:left w:val="nil"/>
              <w:bottom w:val="nil"/>
              <w:right w:val="nil"/>
            </w:tcBorders>
            <w:shd w:val="clear" w:color="auto" w:fill="auto"/>
            <w:noWrap/>
            <w:vAlign w:val="center"/>
            <w:hideMark/>
          </w:tcPr>
          <w:p w14:paraId="148D1806" w14:textId="41C18B01"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03DF6763" w14:textId="13382409"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2C8E0633" w14:textId="1BFF5393"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142</w:t>
            </w:r>
            <w:r w:rsidRPr="002C3397">
              <w:rPr>
                <w:rFonts w:ascii="Arial" w:eastAsia="等线" w:hAnsi="Arial" w:cs="Arial"/>
                <w:noProof/>
                <w:color w:val="000000"/>
                <w:kern w:val="0"/>
                <w:szCs w:val="21"/>
              </w:rPr>
              <w:t>]</w:t>
            </w:r>
          </w:p>
        </w:tc>
      </w:tr>
      <w:tr w:rsidR="00916F45" w:rsidRPr="002C3397" w14:paraId="71DA9593"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4B3FEEAF" w14:textId="6C51FE6F"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ENSMUSG00000031955</w:t>
            </w:r>
          </w:p>
        </w:tc>
        <w:tc>
          <w:tcPr>
            <w:tcW w:w="916" w:type="pct"/>
            <w:gridSpan w:val="2"/>
            <w:tcBorders>
              <w:top w:val="nil"/>
              <w:left w:val="nil"/>
              <w:bottom w:val="nil"/>
              <w:right w:val="nil"/>
            </w:tcBorders>
            <w:shd w:val="clear" w:color="auto" w:fill="auto"/>
            <w:noWrap/>
            <w:vAlign w:val="center"/>
            <w:hideMark/>
          </w:tcPr>
          <w:p w14:paraId="6EB489DC" w14:textId="6F19F458"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Bcar1</w:t>
            </w:r>
          </w:p>
        </w:tc>
        <w:tc>
          <w:tcPr>
            <w:tcW w:w="1169" w:type="pct"/>
            <w:tcBorders>
              <w:top w:val="nil"/>
              <w:left w:val="nil"/>
              <w:bottom w:val="nil"/>
              <w:right w:val="nil"/>
            </w:tcBorders>
            <w:shd w:val="clear" w:color="auto" w:fill="auto"/>
            <w:noWrap/>
            <w:vAlign w:val="center"/>
            <w:hideMark/>
          </w:tcPr>
          <w:p w14:paraId="1F19B868" w14:textId="43AC36CD"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3.024 </w:t>
            </w:r>
          </w:p>
        </w:tc>
        <w:tc>
          <w:tcPr>
            <w:tcW w:w="500" w:type="pct"/>
            <w:tcBorders>
              <w:top w:val="nil"/>
              <w:left w:val="nil"/>
              <w:bottom w:val="nil"/>
              <w:right w:val="nil"/>
            </w:tcBorders>
            <w:shd w:val="clear" w:color="auto" w:fill="auto"/>
            <w:noWrap/>
            <w:vAlign w:val="center"/>
            <w:hideMark/>
          </w:tcPr>
          <w:p w14:paraId="38C42E72" w14:textId="040043F8"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59369BE3" w14:textId="344C8723"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1F073074" w14:textId="2A584E94"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143</w:t>
            </w:r>
            <w:r w:rsidRPr="002C3397">
              <w:rPr>
                <w:rFonts w:ascii="Arial" w:eastAsia="等线" w:hAnsi="Arial" w:cs="Arial"/>
                <w:noProof/>
                <w:color w:val="000000"/>
                <w:kern w:val="0"/>
                <w:szCs w:val="21"/>
              </w:rPr>
              <w:t>]</w:t>
            </w:r>
          </w:p>
        </w:tc>
      </w:tr>
      <w:tr w:rsidR="00916F45" w:rsidRPr="002C3397" w14:paraId="798A08F7"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69A91486" w14:textId="66E688B3"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ENSMUSG00000028111</w:t>
            </w:r>
          </w:p>
        </w:tc>
        <w:tc>
          <w:tcPr>
            <w:tcW w:w="916" w:type="pct"/>
            <w:gridSpan w:val="2"/>
            <w:tcBorders>
              <w:top w:val="nil"/>
              <w:left w:val="nil"/>
              <w:bottom w:val="nil"/>
              <w:right w:val="nil"/>
            </w:tcBorders>
            <w:shd w:val="clear" w:color="auto" w:fill="auto"/>
            <w:noWrap/>
            <w:vAlign w:val="center"/>
            <w:hideMark/>
          </w:tcPr>
          <w:p w14:paraId="168536B8" w14:textId="533786EC"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Ctsk</w:t>
            </w:r>
          </w:p>
        </w:tc>
        <w:tc>
          <w:tcPr>
            <w:tcW w:w="1169" w:type="pct"/>
            <w:tcBorders>
              <w:top w:val="nil"/>
              <w:left w:val="nil"/>
              <w:bottom w:val="nil"/>
              <w:right w:val="nil"/>
            </w:tcBorders>
            <w:shd w:val="clear" w:color="auto" w:fill="auto"/>
            <w:noWrap/>
            <w:vAlign w:val="center"/>
            <w:hideMark/>
          </w:tcPr>
          <w:p w14:paraId="0F90E2C0" w14:textId="719F1259"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2.716 </w:t>
            </w:r>
          </w:p>
        </w:tc>
        <w:tc>
          <w:tcPr>
            <w:tcW w:w="500" w:type="pct"/>
            <w:tcBorders>
              <w:top w:val="nil"/>
              <w:left w:val="nil"/>
              <w:bottom w:val="nil"/>
              <w:right w:val="nil"/>
            </w:tcBorders>
            <w:shd w:val="clear" w:color="auto" w:fill="auto"/>
            <w:noWrap/>
            <w:vAlign w:val="center"/>
            <w:hideMark/>
          </w:tcPr>
          <w:p w14:paraId="4457922D" w14:textId="6FDC8291"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6E8FAB8D" w14:textId="3ABE01EB"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18B52CF2" w14:textId="7847B039"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144</w:t>
            </w:r>
            <w:r w:rsidRPr="002C3397">
              <w:rPr>
                <w:rFonts w:ascii="Arial" w:eastAsia="等线" w:hAnsi="Arial" w:cs="Arial"/>
                <w:noProof/>
                <w:color w:val="000000"/>
                <w:kern w:val="0"/>
                <w:szCs w:val="21"/>
              </w:rPr>
              <w:t>]</w:t>
            </w:r>
          </w:p>
        </w:tc>
      </w:tr>
      <w:tr w:rsidR="00916F45" w:rsidRPr="002C3397" w14:paraId="0B127A2B"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3F86EFC1" w14:textId="43D195B8"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ENSMUSG00000068740</w:t>
            </w:r>
          </w:p>
        </w:tc>
        <w:tc>
          <w:tcPr>
            <w:tcW w:w="916" w:type="pct"/>
            <w:gridSpan w:val="2"/>
            <w:tcBorders>
              <w:top w:val="nil"/>
              <w:left w:val="nil"/>
              <w:bottom w:val="nil"/>
              <w:right w:val="nil"/>
            </w:tcBorders>
            <w:shd w:val="clear" w:color="auto" w:fill="auto"/>
            <w:noWrap/>
            <w:vAlign w:val="center"/>
            <w:hideMark/>
          </w:tcPr>
          <w:p w14:paraId="36A89B0D" w14:textId="1EA6C1A9"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Celsr2</w:t>
            </w:r>
          </w:p>
        </w:tc>
        <w:tc>
          <w:tcPr>
            <w:tcW w:w="1169" w:type="pct"/>
            <w:tcBorders>
              <w:top w:val="nil"/>
              <w:left w:val="nil"/>
              <w:bottom w:val="nil"/>
              <w:right w:val="nil"/>
            </w:tcBorders>
            <w:shd w:val="clear" w:color="auto" w:fill="auto"/>
            <w:noWrap/>
            <w:vAlign w:val="center"/>
            <w:hideMark/>
          </w:tcPr>
          <w:p w14:paraId="7D5116B0" w14:textId="4E20FC13"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2.660 </w:t>
            </w:r>
          </w:p>
        </w:tc>
        <w:tc>
          <w:tcPr>
            <w:tcW w:w="500" w:type="pct"/>
            <w:tcBorders>
              <w:top w:val="nil"/>
              <w:left w:val="nil"/>
              <w:bottom w:val="nil"/>
              <w:right w:val="nil"/>
            </w:tcBorders>
            <w:shd w:val="clear" w:color="auto" w:fill="auto"/>
            <w:noWrap/>
            <w:vAlign w:val="center"/>
            <w:hideMark/>
          </w:tcPr>
          <w:p w14:paraId="2AE05D64" w14:textId="790FDE24"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7C6B9E1D" w14:textId="130B504D"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479DC81A" w14:textId="0E77D8C5"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145</w:t>
            </w:r>
            <w:r w:rsidRPr="002C3397">
              <w:rPr>
                <w:rFonts w:ascii="Arial" w:eastAsia="等线" w:hAnsi="Arial" w:cs="Arial"/>
                <w:noProof/>
                <w:color w:val="000000"/>
                <w:kern w:val="0"/>
                <w:szCs w:val="21"/>
              </w:rPr>
              <w:t>]</w:t>
            </w:r>
          </w:p>
        </w:tc>
      </w:tr>
      <w:tr w:rsidR="00916F45" w:rsidRPr="002C3397" w14:paraId="294625C2"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5EE58C9A" w14:textId="3B58EDD3" w:rsidR="00916F45" w:rsidRPr="002C3397" w:rsidRDefault="007E380C" w:rsidP="00916F45">
            <w:pPr>
              <w:widowControl/>
              <w:jc w:val="left"/>
              <w:rPr>
                <w:rFonts w:ascii="Arial" w:eastAsia="等线" w:hAnsi="Arial" w:cs="Arial"/>
                <w:color w:val="000000"/>
                <w:szCs w:val="21"/>
              </w:rPr>
            </w:pPr>
            <w:r w:rsidRPr="002C3397">
              <w:rPr>
                <w:rFonts w:ascii="Arial" w:eastAsia="等线" w:hAnsi="Arial" w:cs="Arial"/>
                <w:color w:val="000000"/>
                <w:szCs w:val="21"/>
              </w:rPr>
              <w:t>ENSMUSG00000031266</w:t>
            </w:r>
          </w:p>
        </w:tc>
        <w:tc>
          <w:tcPr>
            <w:tcW w:w="916" w:type="pct"/>
            <w:gridSpan w:val="2"/>
            <w:tcBorders>
              <w:top w:val="nil"/>
              <w:left w:val="nil"/>
              <w:bottom w:val="nil"/>
              <w:right w:val="nil"/>
            </w:tcBorders>
            <w:shd w:val="clear" w:color="auto" w:fill="auto"/>
            <w:noWrap/>
            <w:vAlign w:val="center"/>
            <w:hideMark/>
          </w:tcPr>
          <w:p w14:paraId="274FC6A4" w14:textId="7C76B9BA" w:rsidR="00916F45" w:rsidRPr="002C3397" w:rsidRDefault="007E380C"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Gla</w:t>
            </w:r>
          </w:p>
        </w:tc>
        <w:tc>
          <w:tcPr>
            <w:tcW w:w="1169" w:type="pct"/>
            <w:tcBorders>
              <w:top w:val="nil"/>
              <w:left w:val="nil"/>
              <w:bottom w:val="nil"/>
              <w:right w:val="nil"/>
            </w:tcBorders>
            <w:shd w:val="clear" w:color="auto" w:fill="auto"/>
            <w:noWrap/>
            <w:vAlign w:val="center"/>
            <w:hideMark/>
          </w:tcPr>
          <w:p w14:paraId="3A843B20" w14:textId="4925F60A" w:rsidR="00916F45" w:rsidRPr="002C3397" w:rsidRDefault="007E380C"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2.466</w:t>
            </w:r>
            <w:r w:rsidR="00916F45" w:rsidRPr="002C3397">
              <w:rPr>
                <w:rFonts w:ascii="Arial" w:eastAsia="等线" w:hAnsi="Arial" w:cs="Arial"/>
                <w:color w:val="000000"/>
                <w:szCs w:val="21"/>
              </w:rPr>
              <w:t xml:space="preserve"> </w:t>
            </w:r>
          </w:p>
        </w:tc>
        <w:tc>
          <w:tcPr>
            <w:tcW w:w="500" w:type="pct"/>
            <w:tcBorders>
              <w:top w:val="nil"/>
              <w:left w:val="nil"/>
              <w:bottom w:val="nil"/>
              <w:right w:val="nil"/>
            </w:tcBorders>
            <w:shd w:val="clear" w:color="auto" w:fill="auto"/>
            <w:noWrap/>
            <w:vAlign w:val="center"/>
            <w:hideMark/>
          </w:tcPr>
          <w:p w14:paraId="7DDD0147" w14:textId="1164A89D"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22870C03" w14:textId="2B2E6826"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31E49573" w14:textId="68BCD62B"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146</w:t>
            </w:r>
            <w:r w:rsidRPr="002C3397">
              <w:rPr>
                <w:rFonts w:ascii="Arial" w:eastAsia="等线" w:hAnsi="Arial" w:cs="Arial"/>
                <w:noProof/>
                <w:color w:val="000000"/>
                <w:kern w:val="0"/>
                <w:szCs w:val="21"/>
              </w:rPr>
              <w:t>]</w:t>
            </w:r>
          </w:p>
        </w:tc>
      </w:tr>
      <w:tr w:rsidR="00916F45" w:rsidRPr="002C3397" w14:paraId="004A9CEC"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03235A2C" w14:textId="78C21B8A" w:rsidR="00916F45" w:rsidRPr="002C3397" w:rsidRDefault="007E380C"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ENSMUSG00000026321</w:t>
            </w:r>
          </w:p>
        </w:tc>
        <w:tc>
          <w:tcPr>
            <w:tcW w:w="916" w:type="pct"/>
            <w:gridSpan w:val="2"/>
            <w:tcBorders>
              <w:top w:val="nil"/>
              <w:left w:val="nil"/>
              <w:bottom w:val="nil"/>
              <w:right w:val="nil"/>
            </w:tcBorders>
            <w:shd w:val="clear" w:color="auto" w:fill="auto"/>
            <w:noWrap/>
            <w:vAlign w:val="center"/>
            <w:hideMark/>
          </w:tcPr>
          <w:p w14:paraId="7E470387" w14:textId="4F9324F9" w:rsidR="00916F45" w:rsidRPr="002C3397" w:rsidRDefault="007E380C"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Tnfrsf11a</w:t>
            </w:r>
          </w:p>
        </w:tc>
        <w:tc>
          <w:tcPr>
            <w:tcW w:w="1169" w:type="pct"/>
            <w:tcBorders>
              <w:top w:val="nil"/>
              <w:left w:val="nil"/>
              <w:bottom w:val="nil"/>
              <w:right w:val="nil"/>
            </w:tcBorders>
            <w:shd w:val="clear" w:color="auto" w:fill="auto"/>
            <w:noWrap/>
            <w:vAlign w:val="center"/>
            <w:hideMark/>
          </w:tcPr>
          <w:p w14:paraId="055F3F12" w14:textId="62B04F5E" w:rsidR="00916F45" w:rsidRPr="002C3397" w:rsidRDefault="007E380C"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-2.930</w:t>
            </w:r>
            <w:r w:rsidR="00916F45" w:rsidRPr="002C3397">
              <w:rPr>
                <w:rFonts w:ascii="Arial" w:eastAsia="等线" w:hAnsi="Arial" w:cs="Arial"/>
                <w:color w:val="000000"/>
                <w:szCs w:val="21"/>
              </w:rPr>
              <w:t xml:space="preserve"> </w:t>
            </w:r>
          </w:p>
        </w:tc>
        <w:tc>
          <w:tcPr>
            <w:tcW w:w="500" w:type="pct"/>
            <w:tcBorders>
              <w:top w:val="nil"/>
              <w:left w:val="nil"/>
              <w:bottom w:val="nil"/>
              <w:right w:val="nil"/>
            </w:tcBorders>
            <w:shd w:val="clear" w:color="auto" w:fill="auto"/>
            <w:noWrap/>
            <w:vAlign w:val="center"/>
            <w:hideMark/>
          </w:tcPr>
          <w:p w14:paraId="320344AC" w14:textId="30DA81D3"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426E37A0" w14:textId="7BCA63A5"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1958D75C" w14:textId="3DC5F99B"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147</w:t>
            </w:r>
            <w:r w:rsidRPr="002C3397">
              <w:rPr>
                <w:rFonts w:ascii="Arial" w:eastAsia="等线" w:hAnsi="Arial" w:cs="Arial"/>
                <w:noProof/>
                <w:color w:val="000000"/>
                <w:kern w:val="0"/>
                <w:szCs w:val="21"/>
              </w:rPr>
              <w:t>]</w:t>
            </w:r>
          </w:p>
        </w:tc>
      </w:tr>
      <w:tr w:rsidR="00916F45" w:rsidRPr="002C3397" w14:paraId="283739C0"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4972BB90" w14:textId="0C83FD0E"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ENSMUSG00000022912</w:t>
            </w:r>
          </w:p>
        </w:tc>
        <w:tc>
          <w:tcPr>
            <w:tcW w:w="916" w:type="pct"/>
            <w:gridSpan w:val="2"/>
            <w:tcBorders>
              <w:top w:val="nil"/>
              <w:left w:val="nil"/>
              <w:bottom w:val="nil"/>
              <w:right w:val="nil"/>
            </w:tcBorders>
            <w:shd w:val="clear" w:color="auto" w:fill="auto"/>
            <w:noWrap/>
            <w:vAlign w:val="center"/>
            <w:hideMark/>
          </w:tcPr>
          <w:p w14:paraId="51925523" w14:textId="2B013DCE"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Pros1</w:t>
            </w:r>
          </w:p>
        </w:tc>
        <w:tc>
          <w:tcPr>
            <w:tcW w:w="1169" w:type="pct"/>
            <w:tcBorders>
              <w:top w:val="nil"/>
              <w:left w:val="nil"/>
              <w:bottom w:val="nil"/>
              <w:right w:val="nil"/>
            </w:tcBorders>
            <w:shd w:val="clear" w:color="auto" w:fill="auto"/>
            <w:noWrap/>
            <w:vAlign w:val="center"/>
            <w:hideMark/>
          </w:tcPr>
          <w:p w14:paraId="75D8EF10" w14:textId="24AE85D0"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-2.391 </w:t>
            </w:r>
          </w:p>
        </w:tc>
        <w:tc>
          <w:tcPr>
            <w:tcW w:w="500" w:type="pct"/>
            <w:tcBorders>
              <w:top w:val="nil"/>
              <w:left w:val="nil"/>
              <w:bottom w:val="nil"/>
              <w:right w:val="nil"/>
            </w:tcBorders>
            <w:shd w:val="clear" w:color="auto" w:fill="auto"/>
            <w:noWrap/>
            <w:vAlign w:val="center"/>
            <w:hideMark/>
          </w:tcPr>
          <w:p w14:paraId="1E58205E" w14:textId="5DF959AC"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35DE6AD3" w14:textId="7E1A77C1"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30B4EEBB" w14:textId="78F5EB9B"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105</w:t>
            </w:r>
            <w:r w:rsidRPr="002C3397">
              <w:rPr>
                <w:rFonts w:ascii="Arial" w:eastAsia="等线" w:hAnsi="Arial" w:cs="Arial"/>
                <w:noProof/>
                <w:color w:val="000000"/>
                <w:kern w:val="0"/>
                <w:szCs w:val="21"/>
              </w:rPr>
              <w:t>]</w:t>
            </w:r>
          </w:p>
        </w:tc>
      </w:tr>
      <w:tr w:rsidR="00916F45" w:rsidRPr="002C3397" w14:paraId="2D7E27B5"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69AF4EF8" w14:textId="093D31E5"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ENSMUSG00000001946</w:t>
            </w:r>
          </w:p>
        </w:tc>
        <w:tc>
          <w:tcPr>
            <w:tcW w:w="916" w:type="pct"/>
            <w:gridSpan w:val="2"/>
            <w:tcBorders>
              <w:top w:val="nil"/>
              <w:left w:val="nil"/>
              <w:bottom w:val="nil"/>
              <w:right w:val="nil"/>
            </w:tcBorders>
            <w:shd w:val="clear" w:color="auto" w:fill="auto"/>
            <w:noWrap/>
            <w:vAlign w:val="center"/>
            <w:hideMark/>
          </w:tcPr>
          <w:p w14:paraId="0575603B" w14:textId="7580E278"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Esam</w:t>
            </w:r>
          </w:p>
        </w:tc>
        <w:tc>
          <w:tcPr>
            <w:tcW w:w="1169" w:type="pct"/>
            <w:tcBorders>
              <w:top w:val="nil"/>
              <w:left w:val="nil"/>
              <w:bottom w:val="nil"/>
              <w:right w:val="nil"/>
            </w:tcBorders>
            <w:shd w:val="clear" w:color="auto" w:fill="auto"/>
            <w:noWrap/>
            <w:vAlign w:val="center"/>
            <w:hideMark/>
          </w:tcPr>
          <w:p w14:paraId="02F96CA3" w14:textId="12A38859"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2.710 </w:t>
            </w:r>
          </w:p>
        </w:tc>
        <w:tc>
          <w:tcPr>
            <w:tcW w:w="500" w:type="pct"/>
            <w:tcBorders>
              <w:top w:val="nil"/>
              <w:left w:val="nil"/>
              <w:bottom w:val="nil"/>
              <w:right w:val="nil"/>
            </w:tcBorders>
            <w:shd w:val="clear" w:color="auto" w:fill="auto"/>
            <w:noWrap/>
            <w:vAlign w:val="center"/>
            <w:hideMark/>
          </w:tcPr>
          <w:p w14:paraId="35C95B58" w14:textId="29D2C0B2"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08C2064E" w14:textId="034563CD"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1678A5D2" w14:textId="5E0AF8F4"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105</w:t>
            </w:r>
            <w:r w:rsidRPr="002C3397">
              <w:rPr>
                <w:rFonts w:ascii="Arial" w:eastAsia="等线" w:hAnsi="Arial" w:cs="Arial"/>
                <w:noProof/>
                <w:color w:val="000000"/>
                <w:kern w:val="0"/>
                <w:szCs w:val="21"/>
              </w:rPr>
              <w:t>]</w:t>
            </w:r>
          </w:p>
        </w:tc>
      </w:tr>
      <w:tr w:rsidR="00916F45" w:rsidRPr="002C3397" w14:paraId="1519A443"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5BC609FE" w14:textId="215FE976" w:rsidR="00916F45" w:rsidRPr="002C3397" w:rsidRDefault="00F07C9B" w:rsidP="00916F45">
            <w:pPr>
              <w:widowControl/>
              <w:jc w:val="left"/>
              <w:rPr>
                <w:rFonts w:ascii="Arial" w:eastAsia="等线" w:hAnsi="Arial" w:cs="Arial"/>
                <w:color w:val="000000"/>
                <w:szCs w:val="21"/>
              </w:rPr>
            </w:pPr>
            <w:r w:rsidRPr="002C3397">
              <w:rPr>
                <w:rFonts w:ascii="Arial" w:eastAsia="等线" w:hAnsi="Arial" w:cs="Arial"/>
                <w:color w:val="000000"/>
                <w:szCs w:val="21"/>
              </w:rPr>
              <w:t>ENSMUSG00000000682</w:t>
            </w:r>
          </w:p>
        </w:tc>
        <w:tc>
          <w:tcPr>
            <w:tcW w:w="916" w:type="pct"/>
            <w:gridSpan w:val="2"/>
            <w:tcBorders>
              <w:top w:val="nil"/>
              <w:left w:val="nil"/>
              <w:bottom w:val="nil"/>
              <w:right w:val="nil"/>
            </w:tcBorders>
            <w:shd w:val="clear" w:color="auto" w:fill="auto"/>
            <w:noWrap/>
            <w:vAlign w:val="center"/>
            <w:hideMark/>
          </w:tcPr>
          <w:p w14:paraId="577A3ACD" w14:textId="6EFC3123" w:rsidR="00916F45" w:rsidRPr="002C3397" w:rsidRDefault="00F07C9B"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Cd52</w:t>
            </w:r>
          </w:p>
        </w:tc>
        <w:tc>
          <w:tcPr>
            <w:tcW w:w="1169" w:type="pct"/>
            <w:tcBorders>
              <w:top w:val="nil"/>
              <w:left w:val="nil"/>
              <w:bottom w:val="nil"/>
              <w:right w:val="nil"/>
            </w:tcBorders>
            <w:shd w:val="clear" w:color="auto" w:fill="auto"/>
            <w:noWrap/>
            <w:vAlign w:val="center"/>
            <w:hideMark/>
          </w:tcPr>
          <w:p w14:paraId="072EA909" w14:textId="10AF3DB5" w:rsidR="00916F45" w:rsidRPr="002C3397" w:rsidRDefault="00F07C9B"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w:t>
            </w:r>
            <w:r w:rsidR="00916F45" w:rsidRPr="002C3397">
              <w:rPr>
                <w:rFonts w:ascii="Arial" w:eastAsia="等线" w:hAnsi="Arial" w:cs="Arial"/>
                <w:color w:val="000000"/>
                <w:szCs w:val="21"/>
              </w:rPr>
              <w:t>2.</w:t>
            </w:r>
            <w:r w:rsidRPr="002C3397">
              <w:rPr>
                <w:rFonts w:ascii="Arial" w:eastAsia="等线" w:hAnsi="Arial" w:cs="Arial"/>
                <w:color w:val="000000"/>
                <w:szCs w:val="21"/>
              </w:rPr>
              <w:t>685</w:t>
            </w:r>
          </w:p>
        </w:tc>
        <w:tc>
          <w:tcPr>
            <w:tcW w:w="500" w:type="pct"/>
            <w:tcBorders>
              <w:top w:val="nil"/>
              <w:left w:val="nil"/>
              <w:bottom w:val="nil"/>
              <w:right w:val="nil"/>
            </w:tcBorders>
            <w:shd w:val="clear" w:color="auto" w:fill="auto"/>
            <w:noWrap/>
            <w:vAlign w:val="center"/>
            <w:hideMark/>
          </w:tcPr>
          <w:p w14:paraId="24177A97" w14:textId="489555D8"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33C6AECD" w14:textId="57A8EAF3"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682CADEF" w14:textId="73C066F3"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148</w:t>
            </w:r>
            <w:r w:rsidRPr="002C3397">
              <w:rPr>
                <w:rFonts w:ascii="Arial" w:eastAsia="等线" w:hAnsi="Arial" w:cs="Arial"/>
                <w:noProof/>
                <w:color w:val="000000"/>
                <w:kern w:val="0"/>
                <w:szCs w:val="21"/>
              </w:rPr>
              <w:t>]</w:t>
            </w:r>
          </w:p>
        </w:tc>
      </w:tr>
      <w:tr w:rsidR="00916F45" w:rsidRPr="002C3397" w14:paraId="0F4C45E8"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13BF4A2D" w14:textId="6BFA8CDA"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ENSMUSG00000020620</w:t>
            </w:r>
          </w:p>
        </w:tc>
        <w:tc>
          <w:tcPr>
            <w:tcW w:w="916" w:type="pct"/>
            <w:gridSpan w:val="2"/>
            <w:tcBorders>
              <w:top w:val="nil"/>
              <w:left w:val="nil"/>
              <w:bottom w:val="nil"/>
              <w:right w:val="nil"/>
            </w:tcBorders>
            <w:shd w:val="clear" w:color="auto" w:fill="auto"/>
            <w:noWrap/>
            <w:vAlign w:val="center"/>
            <w:hideMark/>
          </w:tcPr>
          <w:p w14:paraId="2C8D5DCA" w14:textId="72F8F61D"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Abca8b</w:t>
            </w:r>
          </w:p>
        </w:tc>
        <w:tc>
          <w:tcPr>
            <w:tcW w:w="1169" w:type="pct"/>
            <w:tcBorders>
              <w:top w:val="nil"/>
              <w:left w:val="nil"/>
              <w:bottom w:val="nil"/>
              <w:right w:val="nil"/>
            </w:tcBorders>
            <w:shd w:val="clear" w:color="auto" w:fill="auto"/>
            <w:noWrap/>
            <w:vAlign w:val="center"/>
            <w:hideMark/>
          </w:tcPr>
          <w:p w14:paraId="4653E620" w14:textId="1D4788E5"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3.692 </w:t>
            </w:r>
          </w:p>
        </w:tc>
        <w:tc>
          <w:tcPr>
            <w:tcW w:w="500" w:type="pct"/>
            <w:tcBorders>
              <w:top w:val="nil"/>
              <w:left w:val="nil"/>
              <w:bottom w:val="nil"/>
              <w:right w:val="nil"/>
            </w:tcBorders>
            <w:shd w:val="clear" w:color="auto" w:fill="auto"/>
            <w:noWrap/>
            <w:vAlign w:val="center"/>
            <w:hideMark/>
          </w:tcPr>
          <w:p w14:paraId="1BB02801" w14:textId="3BDD3CDA"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4FFB61B0" w14:textId="55D9FD80"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79DF8708" w14:textId="38BC17B3"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149</w:t>
            </w:r>
            <w:r w:rsidRPr="002C3397">
              <w:rPr>
                <w:rFonts w:ascii="Arial" w:eastAsia="等线" w:hAnsi="Arial" w:cs="Arial"/>
                <w:noProof/>
                <w:color w:val="000000"/>
                <w:kern w:val="0"/>
                <w:szCs w:val="21"/>
              </w:rPr>
              <w:t>]</w:t>
            </w:r>
          </w:p>
        </w:tc>
      </w:tr>
      <w:tr w:rsidR="00916F45" w:rsidRPr="002C3397" w14:paraId="0FA04C41"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7C227C77" w14:textId="555B600E"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ENSMUSG00000033446</w:t>
            </w:r>
          </w:p>
        </w:tc>
        <w:tc>
          <w:tcPr>
            <w:tcW w:w="916" w:type="pct"/>
            <w:gridSpan w:val="2"/>
            <w:tcBorders>
              <w:top w:val="nil"/>
              <w:left w:val="nil"/>
              <w:bottom w:val="nil"/>
              <w:right w:val="nil"/>
            </w:tcBorders>
            <w:shd w:val="clear" w:color="auto" w:fill="auto"/>
            <w:noWrap/>
            <w:vAlign w:val="center"/>
            <w:hideMark/>
          </w:tcPr>
          <w:p w14:paraId="520DE15B" w14:textId="457E595C"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Lpar6</w:t>
            </w:r>
          </w:p>
        </w:tc>
        <w:tc>
          <w:tcPr>
            <w:tcW w:w="1169" w:type="pct"/>
            <w:tcBorders>
              <w:top w:val="nil"/>
              <w:left w:val="nil"/>
              <w:bottom w:val="nil"/>
              <w:right w:val="nil"/>
            </w:tcBorders>
            <w:shd w:val="clear" w:color="auto" w:fill="auto"/>
            <w:noWrap/>
            <w:vAlign w:val="center"/>
            <w:hideMark/>
          </w:tcPr>
          <w:p w14:paraId="798B5146" w14:textId="275A8E74"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-2.072 </w:t>
            </w:r>
          </w:p>
        </w:tc>
        <w:tc>
          <w:tcPr>
            <w:tcW w:w="500" w:type="pct"/>
            <w:tcBorders>
              <w:top w:val="nil"/>
              <w:left w:val="nil"/>
              <w:bottom w:val="nil"/>
              <w:right w:val="nil"/>
            </w:tcBorders>
            <w:shd w:val="clear" w:color="auto" w:fill="auto"/>
            <w:noWrap/>
            <w:vAlign w:val="center"/>
            <w:hideMark/>
          </w:tcPr>
          <w:p w14:paraId="70B9D5E0" w14:textId="213EE5A1"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244EDE80" w14:textId="57483C02"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00BA8C2D" w14:textId="67BF642A"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150</w:t>
            </w:r>
            <w:r w:rsidRPr="002C3397">
              <w:rPr>
                <w:rFonts w:ascii="Arial" w:eastAsia="等线" w:hAnsi="Arial" w:cs="Arial"/>
                <w:noProof/>
                <w:color w:val="000000"/>
                <w:kern w:val="0"/>
                <w:szCs w:val="21"/>
              </w:rPr>
              <w:t>]</w:t>
            </w:r>
          </w:p>
        </w:tc>
      </w:tr>
      <w:tr w:rsidR="00916F45" w:rsidRPr="002C3397" w14:paraId="0FA40B68"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139A0C0B" w14:textId="04314399"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ENSMUSG00000015243</w:t>
            </w:r>
          </w:p>
        </w:tc>
        <w:tc>
          <w:tcPr>
            <w:tcW w:w="916" w:type="pct"/>
            <w:gridSpan w:val="2"/>
            <w:tcBorders>
              <w:top w:val="nil"/>
              <w:left w:val="nil"/>
              <w:bottom w:val="nil"/>
              <w:right w:val="nil"/>
            </w:tcBorders>
            <w:shd w:val="clear" w:color="auto" w:fill="auto"/>
            <w:noWrap/>
            <w:vAlign w:val="center"/>
            <w:hideMark/>
          </w:tcPr>
          <w:p w14:paraId="17CCCA58" w14:textId="6969ADD5"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Abca1</w:t>
            </w:r>
          </w:p>
        </w:tc>
        <w:tc>
          <w:tcPr>
            <w:tcW w:w="1169" w:type="pct"/>
            <w:tcBorders>
              <w:top w:val="nil"/>
              <w:left w:val="nil"/>
              <w:bottom w:val="nil"/>
              <w:right w:val="nil"/>
            </w:tcBorders>
            <w:shd w:val="clear" w:color="auto" w:fill="auto"/>
            <w:noWrap/>
            <w:vAlign w:val="center"/>
            <w:hideMark/>
          </w:tcPr>
          <w:p w14:paraId="267B409D" w14:textId="7D25C68B"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-2.919 </w:t>
            </w:r>
          </w:p>
        </w:tc>
        <w:tc>
          <w:tcPr>
            <w:tcW w:w="500" w:type="pct"/>
            <w:tcBorders>
              <w:top w:val="nil"/>
              <w:left w:val="nil"/>
              <w:bottom w:val="nil"/>
              <w:right w:val="nil"/>
            </w:tcBorders>
            <w:shd w:val="clear" w:color="auto" w:fill="auto"/>
            <w:noWrap/>
            <w:vAlign w:val="center"/>
            <w:hideMark/>
          </w:tcPr>
          <w:p w14:paraId="616A906D" w14:textId="5CA6146D"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50338F6F" w14:textId="142B5B36"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651271C9" w14:textId="44BB9611"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70</w:t>
            </w:r>
            <w:r w:rsidRPr="002C3397">
              <w:rPr>
                <w:rFonts w:ascii="Arial" w:eastAsia="等线" w:hAnsi="Arial" w:cs="Arial"/>
                <w:noProof/>
                <w:color w:val="000000"/>
                <w:kern w:val="0"/>
                <w:szCs w:val="21"/>
              </w:rPr>
              <w:t xml:space="preserve">, </w:t>
            </w:r>
            <w:r w:rsidR="00F05D34" w:rsidRPr="002C3397">
              <w:rPr>
                <w:rFonts w:ascii="Arial" w:eastAsia="等线" w:hAnsi="Arial" w:cs="Arial"/>
                <w:noProof/>
                <w:color w:val="000000"/>
                <w:kern w:val="0"/>
                <w:szCs w:val="21"/>
              </w:rPr>
              <w:t>97</w:t>
            </w:r>
            <w:r w:rsidRPr="002C3397">
              <w:rPr>
                <w:rFonts w:ascii="Arial" w:eastAsia="等线" w:hAnsi="Arial" w:cs="Arial"/>
                <w:noProof/>
                <w:color w:val="000000"/>
                <w:kern w:val="0"/>
                <w:szCs w:val="21"/>
              </w:rPr>
              <w:t>]</w:t>
            </w:r>
          </w:p>
        </w:tc>
      </w:tr>
      <w:tr w:rsidR="00916F45" w:rsidRPr="002C3397" w14:paraId="1CBB88C4"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23565107" w14:textId="46B1689B"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ENSMUSG00000003379</w:t>
            </w:r>
          </w:p>
        </w:tc>
        <w:tc>
          <w:tcPr>
            <w:tcW w:w="916" w:type="pct"/>
            <w:gridSpan w:val="2"/>
            <w:tcBorders>
              <w:top w:val="nil"/>
              <w:left w:val="nil"/>
              <w:bottom w:val="nil"/>
              <w:right w:val="nil"/>
            </w:tcBorders>
            <w:shd w:val="clear" w:color="auto" w:fill="auto"/>
            <w:noWrap/>
            <w:vAlign w:val="center"/>
            <w:hideMark/>
          </w:tcPr>
          <w:p w14:paraId="416F2E84" w14:textId="62A62D17"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Cd79a</w:t>
            </w:r>
          </w:p>
        </w:tc>
        <w:tc>
          <w:tcPr>
            <w:tcW w:w="1169" w:type="pct"/>
            <w:tcBorders>
              <w:top w:val="nil"/>
              <w:left w:val="nil"/>
              <w:bottom w:val="nil"/>
              <w:right w:val="nil"/>
            </w:tcBorders>
            <w:shd w:val="clear" w:color="auto" w:fill="auto"/>
            <w:noWrap/>
            <w:vAlign w:val="center"/>
            <w:hideMark/>
          </w:tcPr>
          <w:p w14:paraId="615867E6" w14:textId="155B79E9"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3.590 </w:t>
            </w:r>
          </w:p>
        </w:tc>
        <w:tc>
          <w:tcPr>
            <w:tcW w:w="500" w:type="pct"/>
            <w:tcBorders>
              <w:top w:val="nil"/>
              <w:left w:val="nil"/>
              <w:bottom w:val="nil"/>
              <w:right w:val="nil"/>
            </w:tcBorders>
            <w:shd w:val="clear" w:color="auto" w:fill="auto"/>
            <w:noWrap/>
            <w:vAlign w:val="center"/>
            <w:hideMark/>
          </w:tcPr>
          <w:p w14:paraId="1796DC9E" w14:textId="24BBD29D"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119A48C2" w14:textId="076D2702"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66E5E628" w14:textId="1DF7CCFF"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151</w:t>
            </w:r>
            <w:r w:rsidRPr="002C3397">
              <w:rPr>
                <w:rFonts w:ascii="Arial" w:eastAsia="等线" w:hAnsi="Arial" w:cs="Arial"/>
                <w:noProof/>
                <w:color w:val="000000"/>
                <w:kern w:val="0"/>
                <w:szCs w:val="21"/>
              </w:rPr>
              <w:t>]</w:t>
            </w:r>
          </w:p>
        </w:tc>
      </w:tr>
      <w:tr w:rsidR="00916F45" w:rsidRPr="002C3397" w14:paraId="0581EFE8"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617A80D2" w14:textId="5EFECA90"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ENSMUSG00000001020</w:t>
            </w:r>
          </w:p>
        </w:tc>
        <w:tc>
          <w:tcPr>
            <w:tcW w:w="916" w:type="pct"/>
            <w:gridSpan w:val="2"/>
            <w:tcBorders>
              <w:top w:val="nil"/>
              <w:left w:val="nil"/>
              <w:bottom w:val="nil"/>
              <w:right w:val="nil"/>
            </w:tcBorders>
            <w:shd w:val="clear" w:color="auto" w:fill="auto"/>
            <w:noWrap/>
            <w:vAlign w:val="center"/>
            <w:hideMark/>
          </w:tcPr>
          <w:p w14:paraId="33ACEC47" w14:textId="7CAC678E"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S100a4</w:t>
            </w:r>
          </w:p>
        </w:tc>
        <w:tc>
          <w:tcPr>
            <w:tcW w:w="1169" w:type="pct"/>
            <w:tcBorders>
              <w:top w:val="nil"/>
              <w:left w:val="nil"/>
              <w:bottom w:val="nil"/>
              <w:right w:val="nil"/>
            </w:tcBorders>
            <w:shd w:val="clear" w:color="auto" w:fill="auto"/>
            <w:noWrap/>
            <w:vAlign w:val="center"/>
            <w:hideMark/>
          </w:tcPr>
          <w:p w14:paraId="0BF14087" w14:textId="11FDFC38"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-2.233 </w:t>
            </w:r>
          </w:p>
        </w:tc>
        <w:tc>
          <w:tcPr>
            <w:tcW w:w="500" w:type="pct"/>
            <w:tcBorders>
              <w:top w:val="nil"/>
              <w:left w:val="nil"/>
              <w:bottom w:val="nil"/>
              <w:right w:val="nil"/>
            </w:tcBorders>
            <w:shd w:val="clear" w:color="auto" w:fill="auto"/>
            <w:noWrap/>
            <w:vAlign w:val="center"/>
            <w:hideMark/>
          </w:tcPr>
          <w:p w14:paraId="414541A0" w14:textId="3B3ABB03"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18F37503" w14:textId="4ABDE807"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4EDCBE6B" w14:textId="554992EA"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152</w:t>
            </w:r>
            <w:r w:rsidRPr="002C3397">
              <w:rPr>
                <w:rFonts w:ascii="Arial" w:eastAsia="等线" w:hAnsi="Arial" w:cs="Arial"/>
                <w:noProof/>
                <w:color w:val="000000"/>
                <w:kern w:val="0"/>
                <w:szCs w:val="21"/>
              </w:rPr>
              <w:t>]</w:t>
            </w:r>
          </w:p>
        </w:tc>
      </w:tr>
      <w:tr w:rsidR="00916F45" w:rsidRPr="002C3397" w14:paraId="0EBBBF41"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64DD535F" w14:textId="7D0ADC1D"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ENSMUSG00000020892</w:t>
            </w:r>
          </w:p>
        </w:tc>
        <w:tc>
          <w:tcPr>
            <w:tcW w:w="916" w:type="pct"/>
            <w:gridSpan w:val="2"/>
            <w:tcBorders>
              <w:top w:val="nil"/>
              <w:left w:val="nil"/>
              <w:bottom w:val="nil"/>
              <w:right w:val="nil"/>
            </w:tcBorders>
            <w:shd w:val="clear" w:color="auto" w:fill="auto"/>
            <w:noWrap/>
            <w:vAlign w:val="center"/>
            <w:hideMark/>
          </w:tcPr>
          <w:p w14:paraId="19D45747" w14:textId="56317E2B"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Aloxe3</w:t>
            </w:r>
          </w:p>
        </w:tc>
        <w:tc>
          <w:tcPr>
            <w:tcW w:w="1169" w:type="pct"/>
            <w:tcBorders>
              <w:top w:val="nil"/>
              <w:left w:val="nil"/>
              <w:bottom w:val="nil"/>
              <w:right w:val="nil"/>
            </w:tcBorders>
            <w:shd w:val="clear" w:color="auto" w:fill="auto"/>
            <w:noWrap/>
            <w:vAlign w:val="center"/>
            <w:hideMark/>
          </w:tcPr>
          <w:p w14:paraId="02250AA0" w14:textId="0A3B29FA"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4.224 </w:t>
            </w:r>
          </w:p>
        </w:tc>
        <w:tc>
          <w:tcPr>
            <w:tcW w:w="500" w:type="pct"/>
            <w:tcBorders>
              <w:top w:val="nil"/>
              <w:left w:val="nil"/>
              <w:bottom w:val="nil"/>
              <w:right w:val="nil"/>
            </w:tcBorders>
            <w:shd w:val="clear" w:color="auto" w:fill="auto"/>
            <w:noWrap/>
            <w:vAlign w:val="center"/>
            <w:hideMark/>
          </w:tcPr>
          <w:p w14:paraId="621548B5" w14:textId="3DD7EAAB"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65932484" w14:textId="36E6A685"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58ECC7D9" w14:textId="6BB37617"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153</w:t>
            </w:r>
            <w:r w:rsidRPr="002C3397">
              <w:rPr>
                <w:rFonts w:ascii="Arial" w:eastAsia="等线" w:hAnsi="Arial" w:cs="Arial"/>
                <w:noProof/>
                <w:color w:val="000000"/>
                <w:kern w:val="0"/>
                <w:szCs w:val="21"/>
              </w:rPr>
              <w:t>]</w:t>
            </w:r>
          </w:p>
        </w:tc>
      </w:tr>
      <w:tr w:rsidR="00916F45" w:rsidRPr="002C3397" w14:paraId="4C53B65E"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53A4D7E9" w14:textId="0F15C7F1"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ENSMUSG00000025804</w:t>
            </w:r>
          </w:p>
        </w:tc>
        <w:tc>
          <w:tcPr>
            <w:tcW w:w="916" w:type="pct"/>
            <w:gridSpan w:val="2"/>
            <w:tcBorders>
              <w:top w:val="nil"/>
              <w:left w:val="nil"/>
              <w:bottom w:val="nil"/>
              <w:right w:val="nil"/>
            </w:tcBorders>
            <w:shd w:val="clear" w:color="auto" w:fill="auto"/>
            <w:noWrap/>
            <w:vAlign w:val="center"/>
            <w:hideMark/>
          </w:tcPr>
          <w:p w14:paraId="75FBE16E" w14:textId="21ED9208"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Ccr1</w:t>
            </w:r>
          </w:p>
        </w:tc>
        <w:tc>
          <w:tcPr>
            <w:tcW w:w="1169" w:type="pct"/>
            <w:tcBorders>
              <w:top w:val="nil"/>
              <w:left w:val="nil"/>
              <w:bottom w:val="nil"/>
              <w:right w:val="nil"/>
            </w:tcBorders>
            <w:shd w:val="clear" w:color="auto" w:fill="auto"/>
            <w:noWrap/>
            <w:vAlign w:val="center"/>
            <w:hideMark/>
          </w:tcPr>
          <w:p w14:paraId="5B04265B" w14:textId="7ACAD5A7"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2.638 </w:t>
            </w:r>
          </w:p>
        </w:tc>
        <w:tc>
          <w:tcPr>
            <w:tcW w:w="500" w:type="pct"/>
            <w:tcBorders>
              <w:top w:val="nil"/>
              <w:left w:val="nil"/>
              <w:bottom w:val="nil"/>
              <w:right w:val="nil"/>
            </w:tcBorders>
            <w:shd w:val="clear" w:color="auto" w:fill="auto"/>
            <w:noWrap/>
            <w:vAlign w:val="center"/>
            <w:hideMark/>
          </w:tcPr>
          <w:p w14:paraId="49405264" w14:textId="2D53EB24"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43A59E4B" w14:textId="048CC763"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43B68687" w14:textId="23396CC2"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154</w:t>
            </w:r>
            <w:r w:rsidRPr="002C3397">
              <w:rPr>
                <w:rFonts w:ascii="Arial" w:eastAsia="等线" w:hAnsi="Arial" w:cs="Arial"/>
                <w:noProof/>
                <w:color w:val="000000"/>
                <w:kern w:val="0"/>
                <w:szCs w:val="21"/>
              </w:rPr>
              <w:t>]</w:t>
            </w:r>
          </w:p>
        </w:tc>
      </w:tr>
      <w:tr w:rsidR="00916F45" w:rsidRPr="002C3397" w14:paraId="250569FE"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42881F5F" w14:textId="034137BD"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ENSMUSG00000026921</w:t>
            </w:r>
          </w:p>
        </w:tc>
        <w:tc>
          <w:tcPr>
            <w:tcW w:w="916" w:type="pct"/>
            <w:gridSpan w:val="2"/>
            <w:tcBorders>
              <w:top w:val="nil"/>
              <w:left w:val="nil"/>
              <w:bottom w:val="nil"/>
              <w:right w:val="nil"/>
            </w:tcBorders>
            <w:shd w:val="clear" w:color="auto" w:fill="auto"/>
            <w:noWrap/>
            <w:vAlign w:val="center"/>
            <w:hideMark/>
          </w:tcPr>
          <w:p w14:paraId="7B285693" w14:textId="4B679C01"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Egfl7</w:t>
            </w:r>
          </w:p>
        </w:tc>
        <w:tc>
          <w:tcPr>
            <w:tcW w:w="1169" w:type="pct"/>
            <w:tcBorders>
              <w:top w:val="nil"/>
              <w:left w:val="nil"/>
              <w:bottom w:val="nil"/>
              <w:right w:val="nil"/>
            </w:tcBorders>
            <w:shd w:val="clear" w:color="auto" w:fill="auto"/>
            <w:noWrap/>
            <w:vAlign w:val="center"/>
            <w:hideMark/>
          </w:tcPr>
          <w:p w14:paraId="558E4827" w14:textId="71C0AAAA"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-2.728 </w:t>
            </w:r>
          </w:p>
        </w:tc>
        <w:tc>
          <w:tcPr>
            <w:tcW w:w="500" w:type="pct"/>
            <w:tcBorders>
              <w:top w:val="nil"/>
              <w:left w:val="nil"/>
              <w:bottom w:val="nil"/>
              <w:right w:val="nil"/>
            </w:tcBorders>
            <w:shd w:val="clear" w:color="auto" w:fill="auto"/>
            <w:noWrap/>
            <w:vAlign w:val="center"/>
            <w:hideMark/>
          </w:tcPr>
          <w:p w14:paraId="4E72D8A8" w14:textId="12115C4E"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26EE92BA" w14:textId="3A1B6423"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297FC06A" w14:textId="171D1C73"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155</w:t>
            </w:r>
            <w:r w:rsidRPr="002C3397">
              <w:rPr>
                <w:rFonts w:ascii="Arial" w:eastAsia="等线" w:hAnsi="Arial" w:cs="Arial"/>
                <w:noProof/>
                <w:color w:val="000000"/>
                <w:kern w:val="0"/>
                <w:szCs w:val="21"/>
              </w:rPr>
              <w:t>]</w:t>
            </w:r>
          </w:p>
        </w:tc>
      </w:tr>
      <w:tr w:rsidR="00916F45" w:rsidRPr="002C3397" w14:paraId="2F8EA9D3"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5BBFF3B0" w14:textId="10E89FCF" w:rsidR="00916F45" w:rsidRPr="002C3397" w:rsidRDefault="00916F45" w:rsidP="00916F45">
            <w:pPr>
              <w:widowControl/>
              <w:jc w:val="left"/>
              <w:rPr>
                <w:rFonts w:ascii="Arial" w:eastAsia="等线" w:hAnsi="Arial" w:cs="Arial"/>
                <w:color w:val="000000"/>
                <w:kern w:val="0"/>
                <w:szCs w:val="21"/>
              </w:rPr>
            </w:pPr>
            <w:bookmarkStart w:id="1" w:name="_Hlk46863511"/>
            <w:r w:rsidRPr="002C3397">
              <w:rPr>
                <w:rFonts w:ascii="Arial" w:eastAsia="等线" w:hAnsi="Arial" w:cs="Arial"/>
                <w:color w:val="000000"/>
                <w:szCs w:val="21"/>
              </w:rPr>
              <w:t>ENSMUSG00000005824</w:t>
            </w:r>
          </w:p>
        </w:tc>
        <w:tc>
          <w:tcPr>
            <w:tcW w:w="916" w:type="pct"/>
            <w:gridSpan w:val="2"/>
            <w:tcBorders>
              <w:top w:val="nil"/>
              <w:left w:val="nil"/>
              <w:bottom w:val="nil"/>
              <w:right w:val="nil"/>
            </w:tcBorders>
            <w:shd w:val="clear" w:color="auto" w:fill="auto"/>
            <w:noWrap/>
            <w:vAlign w:val="center"/>
            <w:hideMark/>
          </w:tcPr>
          <w:p w14:paraId="6DF48C8A" w14:textId="1E4637AA"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Tnfsf14</w:t>
            </w:r>
          </w:p>
        </w:tc>
        <w:tc>
          <w:tcPr>
            <w:tcW w:w="1169" w:type="pct"/>
            <w:tcBorders>
              <w:top w:val="nil"/>
              <w:left w:val="nil"/>
              <w:bottom w:val="nil"/>
              <w:right w:val="nil"/>
            </w:tcBorders>
            <w:shd w:val="clear" w:color="auto" w:fill="auto"/>
            <w:noWrap/>
            <w:vAlign w:val="center"/>
            <w:hideMark/>
          </w:tcPr>
          <w:p w14:paraId="59C06FA9" w14:textId="4C29C03F"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2.536 </w:t>
            </w:r>
          </w:p>
        </w:tc>
        <w:tc>
          <w:tcPr>
            <w:tcW w:w="500" w:type="pct"/>
            <w:tcBorders>
              <w:top w:val="nil"/>
              <w:left w:val="nil"/>
              <w:bottom w:val="nil"/>
              <w:right w:val="nil"/>
            </w:tcBorders>
            <w:shd w:val="clear" w:color="auto" w:fill="auto"/>
            <w:noWrap/>
            <w:vAlign w:val="center"/>
            <w:hideMark/>
          </w:tcPr>
          <w:p w14:paraId="46888507" w14:textId="2174AB5B"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7E644730" w14:textId="5AD3BD79"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680C00FC" w14:textId="221B61D0"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156</w:t>
            </w:r>
            <w:r w:rsidRPr="002C3397">
              <w:rPr>
                <w:rFonts w:ascii="Arial" w:eastAsia="等线" w:hAnsi="Arial" w:cs="Arial"/>
                <w:noProof/>
                <w:color w:val="000000"/>
                <w:kern w:val="0"/>
                <w:szCs w:val="21"/>
              </w:rPr>
              <w:t>]</w:t>
            </w:r>
          </w:p>
        </w:tc>
      </w:tr>
      <w:bookmarkEnd w:id="1"/>
      <w:tr w:rsidR="00916F45" w:rsidRPr="002C3397" w14:paraId="7BDEC4C2"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0F15DB2C" w14:textId="3409BCB2"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ENSMUSG00000029925</w:t>
            </w:r>
          </w:p>
        </w:tc>
        <w:tc>
          <w:tcPr>
            <w:tcW w:w="916" w:type="pct"/>
            <w:gridSpan w:val="2"/>
            <w:tcBorders>
              <w:top w:val="nil"/>
              <w:left w:val="nil"/>
              <w:bottom w:val="nil"/>
              <w:right w:val="nil"/>
            </w:tcBorders>
            <w:shd w:val="clear" w:color="auto" w:fill="auto"/>
            <w:noWrap/>
            <w:vAlign w:val="center"/>
            <w:hideMark/>
          </w:tcPr>
          <w:p w14:paraId="5485E074" w14:textId="2637EBE2"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Tbxas1</w:t>
            </w:r>
          </w:p>
        </w:tc>
        <w:tc>
          <w:tcPr>
            <w:tcW w:w="1169" w:type="pct"/>
            <w:tcBorders>
              <w:top w:val="nil"/>
              <w:left w:val="nil"/>
              <w:bottom w:val="nil"/>
              <w:right w:val="nil"/>
            </w:tcBorders>
            <w:shd w:val="clear" w:color="auto" w:fill="auto"/>
            <w:noWrap/>
            <w:vAlign w:val="center"/>
            <w:hideMark/>
          </w:tcPr>
          <w:p w14:paraId="2F00A832" w14:textId="04B2272A"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-3.739 </w:t>
            </w:r>
          </w:p>
        </w:tc>
        <w:tc>
          <w:tcPr>
            <w:tcW w:w="500" w:type="pct"/>
            <w:tcBorders>
              <w:top w:val="nil"/>
              <w:left w:val="nil"/>
              <w:bottom w:val="nil"/>
              <w:right w:val="nil"/>
            </w:tcBorders>
            <w:shd w:val="clear" w:color="auto" w:fill="auto"/>
            <w:noWrap/>
            <w:vAlign w:val="center"/>
            <w:hideMark/>
          </w:tcPr>
          <w:p w14:paraId="474148C6" w14:textId="13159B79"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2E91C021" w14:textId="1BF01809"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2884708E" w14:textId="07ACDF4F"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157</w:t>
            </w:r>
            <w:r w:rsidRPr="002C3397">
              <w:rPr>
                <w:rFonts w:ascii="Arial" w:eastAsia="等线" w:hAnsi="Arial" w:cs="Arial"/>
                <w:noProof/>
                <w:color w:val="000000"/>
                <w:kern w:val="0"/>
                <w:szCs w:val="21"/>
              </w:rPr>
              <w:t>]</w:t>
            </w:r>
          </w:p>
        </w:tc>
      </w:tr>
      <w:tr w:rsidR="00916F45" w:rsidRPr="002C3397" w14:paraId="2C651940"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2C2F4A21" w14:textId="200CD0A1"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ENSMUSG00000035373</w:t>
            </w:r>
          </w:p>
        </w:tc>
        <w:tc>
          <w:tcPr>
            <w:tcW w:w="916" w:type="pct"/>
            <w:gridSpan w:val="2"/>
            <w:tcBorders>
              <w:top w:val="nil"/>
              <w:left w:val="nil"/>
              <w:bottom w:val="nil"/>
              <w:right w:val="nil"/>
            </w:tcBorders>
            <w:shd w:val="clear" w:color="auto" w:fill="auto"/>
            <w:noWrap/>
            <w:vAlign w:val="center"/>
            <w:hideMark/>
          </w:tcPr>
          <w:p w14:paraId="2D3B8D03" w14:textId="3E9ACB5E"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Ccl7</w:t>
            </w:r>
          </w:p>
        </w:tc>
        <w:tc>
          <w:tcPr>
            <w:tcW w:w="1169" w:type="pct"/>
            <w:tcBorders>
              <w:top w:val="nil"/>
              <w:left w:val="nil"/>
              <w:bottom w:val="nil"/>
              <w:right w:val="nil"/>
            </w:tcBorders>
            <w:shd w:val="clear" w:color="auto" w:fill="auto"/>
            <w:noWrap/>
            <w:vAlign w:val="center"/>
            <w:hideMark/>
          </w:tcPr>
          <w:p w14:paraId="609D6855" w14:textId="589BA90C"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3.174 </w:t>
            </w:r>
          </w:p>
        </w:tc>
        <w:tc>
          <w:tcPr>
            <w:tcW w:w="500" w:type="pct"/>
            <w:tcBorders>
              <w:top w:val="nil"/>
              <w:left w:val="nil"/>
              <w:bottom w:val="nil"/>
              <w:right w:val="nil"/>
            </w:tcBorders>
            <w:shd w:val="clear" w:color="auto" w:fill="auto"/>
            <w:noWrap/>
            <w:vAlign w:val="center"/>
            <w:hideMark/>
          </w:tcPr>
          <w:p w14:paraId="11B86038" w14:textId="3071FBED"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695007ED" w14:textId="1BEB010E"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3E4D0928" w14:textId="5A115ED0"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158</w:t>
            </w:r>
            <w:r w:rsidRPr="002C3397">
              <w:rPr>
                <w:rFonts w:ascii="Arial" w:eastAsia="等线" w:hAnsi="Arial" w:cs="Arial"/>
                <w:noProof/>
                <w:color w:val="000000"/>
                <w:kern w:val="0"/>
                <w:szCs w:val="21"/>
              </w:rPr>
              <w:t>]</w:t>
            </w:r>
          </w:p>
        </w:tc>
      </w:tr>
      <w:tr w:rsidR="00916F45" w:rsidRPr="002C3397" w14:paraId="7BBA10A1"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3D867E4C" w14:textId="4E613016"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ENSMUSG00000049608</w:t>
            </w:r>
          </w:p>
        </w:tc>
        <w:tc>
          <w:tcPr>
            <w:tcW w:w="916" w:type="pct"/>
            <w:gridSpan w:val="2"/>
            <w:tcBorders>
              <w:top w:val="nil"/>
              <w:left w:val="nil"/>
              <w:bottom w:val="nil"/>
              <w:right w:val="nil"/>
            </w:tcBorders>
            <w:shd w:val="clear" w:color="auto" w:fill="auto"/>
            <w:noWrap/>
            <w:vAlign w:val="center"/>
            <w:hideMark/>
          </w:tcPr>
          <w:p w14:paraId="6BA7FF7A" w14:textId="6E3BB596"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Gpr55</w:t>
            </w:r>
          </w:p>
        </w:tc>
        <w:tc>
          <w:tcPr>
            <w:tcW w:w="1169" w:type="pct"/>
            <w:tcBorders>
              <w:top w:val="nil"/>
              <w:left w:val="nil"/>
              <w:bottom w:val="nil"/>
              <w:right w:val="nil"/>
            </w:tcBorders>
            <w:shd w:val="clear" w:color="auto" w:fill="auto"/>
            <w:noWrap/>
            <w:vAlign w:val="center"/>
            <w:hideMark/>
          </w:tcPr>
          <w:p w14:paraId="2700CB4E" w14:textId="65029778"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-2.882 </w:t>
            </w:r>
          </w:p>
        </w:tc>
        <w:tc>
          <w:tcPr>
            <w:tcW w:w="500" w:type="pct"/>
            <w:tcBorders>
              <w:top w:val="nil"/>
              <w:left w:val="nil"/>
              <w:bottom w:val="nil"/>
              <w:right w:val="nil"/>
            </w:tcBorders>
            <w:shd w:val="clear" w:color="auto" w:fill="auto"/>
            <w:noWrap/>
            <w:vAlign w:val="center"/>
            <w:hideMark/>
          </w:tcPr>
          <w:p w14:paraId="64843D09" w14:textId="6D49A346"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402669F8" w14:textId="374CA938"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1CBC37EC" w14:textId="50348C70"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159</w:t>
            </w:r>
            <w:r w:rsidRPr="002C3397">
              <w:rPr>
                <w:rFonts w:ascii="Arial" w:eastAsia="等线" w:hAnsi="Arial" w:cs="Arial"/>
                <w:noProof/>
                <w:color w:val="000000"/>
                <w:kern w:val="0"/>
                <w:szCs w:val="21"/>
              </w:rPr>
              <w:t>]</w:t>
            </w:r>
          </w:p>
        </w:tc>
      </w:tr>
      <w:tr w:rsidR="00916F45" w:rsidRPr="002C3397" w14:paraId="2E415F19"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2C1CDDA9" w14:textId="32A4C2E1"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ENSMUSG00000024391</w:t>
            </w:r>
          </w:p>
        </w:tc>
        <w:tc>
          <w:tcPr>
            <w:tcW w:w="916" w:type="pct"/>
            <w:gridSpan w:val="2"/>
            <w:tcBorders>
              <w:top w:val="nil"/>
              <w:left w:val="nil"/>
              <w:bottom w:val="nil"/>
              <w:right w:val="nil"/>
            </w:tcBorders>
            <w:shd w:val="clear" w:color="auto" w:fill="auto"/>
            <w:noWrap/>
            <w:vAlign w:val="center"/>
            <w:hideMark/>
          </w:tcPr>
          <w:p w14:paraId="6A7068E5" w14:textId="069D7BCC"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Apom</w:t>
            </w:r>
          </w:p>
        </w:tc>
        <w:tc>
          <w:tcPr>
            <w:tcW w:w="1169" w:type="pct"/>
            <w:tcBorders>
              <w:top w:val="nil"/>
              <w:left w:val="nil"/>
              <w:bottom w:val="nil"/>
              <w:right w:val="nil"/>
            </w:tcBorders>
            <w:shd w:val="clear" w:color="auto" w:fill="auto"/>
            <w:noWrap/>
            <w:vAlign w:val="center"/>
            <w:hideMark/>
          </w:tcPr>
          <w:p w14:paraId="7575047C" w14:textId="22B5D756"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2.025 </w:t>
            </w:r>
          </w:p>
        </w:tc>
        <w:tc>
          <w:tcPr>
            <w:tcW w:w="500" w:type="pct"/>
            <w:tcBorders>
              <w:top w:val="nil"/>
              <w:left w:val="nil"/>
              <w:bottom w:val="nil"/>
              <w:right w:val="nil"/>
            </w:tcBorders>
            <w:shd w:val="clear" w:color="auto" w:fill="auto"/>
            <w:noWrap/>
            <w:vAlign w:val="center"/>
            <w:hideMark/>
          </w:tcPr>
          <w:p w14:paraId="253A0D72" w14:textId="2B4F5976"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3F22A6C1" w14:textId="7A7CB9E8"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2F6419DF" w14:textId="2FC48121"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160</w:t>
            </w:r>
            <w:r w:rsidRPr="002C3397">
              <w:rPr>
                <w:rFonts w:ascii="Arial" w:eastAsia="等线" w:hAnsi="Arial" w:cs="Arial"/>
                <w:noProof/>
                <w:color w:val="000000"/>
                <w:kern w:val="0"/>
                <w:szCs w:val="21"/>
              </w:rPr>
              <w:t>]</w:t>
            </w:r>
          </w:p>
        </w:tc>
      </w:tr>
      <w:tr w:rsidR="00916F45" w:rsidRPr="002C3397" w14:paraId="1B9684CD"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1CEA08D1" w14:textId="578A3905"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ENSMUSG00000042745</w:t>
            </w:r>
          </w:p>
        </w:tc>
        <w:tc>
          <w:tcPr>
            <w:tcW w:w="916" w:type="pct"/>
            <w:gridSpan w:val="2"/>
            <w:tcBorders>
              <w:top w:val="nil"/>
              <w:left w:val="nil"/>
              <w:bottom w:val="nil"/>
              <w:right w:val="nil"/>
            </w:tcBorders>
            <w:shd w:val="clear" w:color="auto" w:fill="auto"/>
            <w:noWrap/>
            <w:vAlign w:val="center"/>
            <w:hideMark/>
          </w:tcPr>
          <w:p w14:paraId="5960FF62" w14:textId="44FA9716"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Id1</w:t>
            </w:r>
          </w:p>
        </w:tc>
        <w:tc>
          <w:tcPr>
            <w:tcW w:w="1169" w:type="pct"/>
            <w:tcBorders>
              <w:top w:val="nil"/>
              <w:left w:val="nil"/>
              <w:bottom w:val="nil"/>
              <w:right w:val="nil"/>
            </w:tcBorders>
            <w:shd w:val="clear" w:color="auto" w:fill="auto"/>
            <w:noWrap/>
            <w:vAlign w:val="center"/>
            <w:hideMark/>
          </w:tcPr>
          <w:p w14:paraId="79323B0C" w14:textId="2B02A330"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2.924 </w:t>
            </w:r>
          </w:p>
        </w:tc>
        <w:tc>
          <w:tcPr>
            <w:tcW w:w="500" w:type="pct"/>
            <w:tcBorders>
              <w:top w:val="nil"/>
              <w:left w:val="nil"/>
              <w:bottom w:val="nil"/>
              <w:right w:val="nil"/>
            </w:tcBorders>
            <w:shd w:val="clear" w:color="auto" w:fill="auto"/>
            <w:noWrap/>
            <w:vAlign w:val="center"/>
            <w:hideMark/>
          </w:tcPr>
          <w:p w14:paraId="17104382" w14:textId="3C905050"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65FA8759" w14:textId="6CEA6B7B"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57275937" w14:textId="1EB284C6"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161</w:t>
            </w:r>
            <w:r w:rsidRPr="002C3397">
              <w:rPr>
                <w:rFonts w:ascii="Arial" w:eastAsia="等线" w:hAnsi="Arial" w:cs="Arial"/>
                <w:noProof/>
                <w:color w:val="000000"/>
                <w:kern w:val="0"/>
                <w:szCs w:val="21"/>
              </w:rPr>
              <w:t>]</w:t>
            </w:r>
          </w:p>
        </w:tc>
      </w:tr>
      <w:tr w:rsidR="00916F45" w:rsidRPr="002C3397" w14:paraId="6E14E764"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78715C93" w14:textId="09B01294"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ENSMUSG00000031637</w:t>
            </w:r>
          </w:p>
        </w:tc>
        <w:tc>
          <w:tcPr>
            <w:tcW w:w="916" w:type="pct"/>
            <w:gridSpan w:val="2"/>
            <w:tcBorders>
              <w:top w:val="nil"/>
              <w:left w:val="nil"/>
              <w:bottom w:val="nil"/>
              <w:right w:val="nil"/>
            </w:tcBorders>
            <w:shd w:val="clear" w:color="auto" w:fill="auto"/>
            <w:noWrap/>
            <w:vAlign w:val="center"/>
            <w:hideMark/>
          </w:tcPr>
          <w:p w14:paraId="2FF964C5" w14:textId="2A7C3D86"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Lrp2bp</w:t>
            </w:r>
          </w:p>
        </w:tc>
        <w:tc>
          <w:tcPr>
            <w:tcW w:w="1169" w:type="pct"/>
            <w:tcBorders>
              <w:top w:val="nil"/>
              <w:left w:val="nil"/>
              <w:bottom w:val="nil"/>
              <w:right w:val="nil"/>
            </w:tcBorders>
            <w:shd w:val="clear" w:color="auto" w:fill="auto"/>
            <w:noWrap/>
            <w:vAlign w:val="center"/>
            <w:hideMark/>
          </w:tcPr>
          <w:p w14:paraId="0D9BACAA" w14:textId="708D2029"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2.760 </w:t>
            </w:r>
          </w:p>
        </w:tc>
        <w:tc>
          <w:tcPr>
            <w:tcW w:w="500" w:type="pct"/>
            <w:tcBorders>
              <w:top w:val="nil"/>
              <w:left w:val="nil"/>
              <w:bottom w:val="nil"/>
              <w:right w:val="nil"/>
            </w:tcBorders>
            <w:shd w:val="clear" w:color="auto" w:fill="auto"/>
            <w:noWrap/>
            <w:vAlign w:val="center"/>
            <w:hideMark/>
          </w:tcPr>
          <w:p w14:paraId="283BBA18" w14:textId="33DAD0E8"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165EF760" w14:textId="7B01DD0A"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5444CA62" w14:textId="3CECE17A"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162</w:t>
            </w:r>
            <w:r w:rsidRPr="002C3397">
              <w:rPr>
                <w:rFonts w:ascii="Arial" w:eastAsia="等线" w:hAnsi="Arial" w:cs="Arial"/>
                <w:noProof/>
                <w:color w:val="000000"/>
                <w:kern w:val="0"/>
                <w:szCs w:val="21"/>
              </w:rPr>
              <w:t>]</w:t>
            </w:r>
          </w:p>
        </w:tc>
      </w:tr>
      <w:tr w:rsidR="00916F45" w:rsidRPr="002C3397" w14:paraId="40C74CB8"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32FDE6B5" w14:textId="6DA58E97"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ENSMUSG00000020447</w:t>
            </w:r>
          </w:p>
        </w:tc>
        <w:tc>
          <w:tcPr>
            <w:tcW w:w="916" w:type="pct"/>
            <w:gridSpan w:val="2"/>
            <w:tcBorders>
              <w:top w:val="nil"/>
              <w:left w:val="nil"/>
              <w:bottom w:val="nil"/>
              <w:right w:val="nil"/>
            </w:tcBorders>
            <w:shd w:val="clear" w:color="auto" w:fill="auto"/>
            <w:noWrap/>
            <w:vAlign w:val="center"/>
            <w:hideMark/>
          </w:tcPr>
          <w:p w14:paraId="51887F80" w14:textId="02463CF5"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Npc1l1</w:t>
            </w:r>
          </w:p>
        </w:tc>
        <w:tc>
          <w:tcPr>
            <w:tcW w:w="1169" w:type="pct"/>
            <w:tcBorders>
              <w:top w:val="nil"/>
              <w:left w:val="nil"/>
              <w:bottom w:val="nil"/>
              <w:right w:val="nil"/>
            </w:tcBorders>
            <w:shd w:val="clear" w:color="auto" w:fill="auto"/>
            <w:noWrap/>
            <w:vAlign w:val="center"/>
            <w:hideMark/>
          </w:tcPr>
          <w:p w14:paraId="7C9031DB" w14:textId="3A737085"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2.591 </w:t>
            </w:r>
          </w:p>
        </w:tc>
        <w:tc>
          <w:tcPr>
            <w:tcW w:w="500" w:type="pct"/>
            <w:tcBorders>
              <w:top w:val="nil"/>
              <w:left w:val="nil"/>
              <w:bottom w:val="nil"/>
              <w:right w:val="nil"/>
            </w:tcBorders>
            <w:shd w:val="clear" w:color="auto" w:fill="auto"/>
            <w:noWrap/>
            <w:vAlign w:val="center"/>
            <w:hideMark/>
          </w:tcPr>
          <w:p w14:paraId="42D58F07" w14:textId="02886200"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15DCCBBF" w14:textId="1BCB9DDC"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52812DCF" w14:textId="4FB457CC"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163</w:t>
            </w:r>
            <w:r w:rsidRPr="002C3397">
              <w:rPr>
                <w:rFonts w:ascii="Arial" w:eastAsia="等线" w:hAnsi="Arial" w:cs="Arial"/>
                <w:noProof/>
                <w:color w:val="000000"/>
                <w:kern w:val="0"/>
                <w:szCs w:val="21"/>
              </w:rPr>
              <w:t>]</w:t>
            </w:r>
          </w:p>
        </w:tc>
      </w:tr>
      <w:tr w:rsidR="00916F45" w:rsidRPr="002C3397" w14:paraId="1EBFB4E5"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38D7059D" w14:textId="0E603640"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ENSMUSG00000030046</w:t>
            </w:r>
          </w:p>
        </w:tc>
        <w:tc>
          <w:tcPr>
            <w:tcW w:w="916" w:type="pct"/>
            <w:gridSpan w:val="2"/>
            <w:tcBorders>
              <w:top w:val="nil"/>
              <w:left w:val="nil"/>
              <w:bottom w:val="nil"/>
              <w:right w:val="nil"/>
            </w:tcBorders>
            <w:shd w:val="clear" w:color="auto" w:fill="auto"/>
            <w:noWrap/>
            <w:vAlign w:val="center"/>
            <w:hideMark/>
          </w:tcPr>
          <w:p w14:paraId="2BFF188D" w14:textId="5EC260ED"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Bmp10</w:t>
            </w:r>
          </w:p>
        </w:tc>
        <w:tc>
          <w:tcPr>
            <w:tcW w:w="1169" w:type="pct"/>
            <w:tcBorders>
              <w:top w:val="nil"/>
              <w:left w:val="nil"/>
              <w:bottom w:val="nil"/>
              <w:right w:val="nil"/>
            </w:tcBorders>
            <w:shd w:val="clear" w:color="auto" w:fill="auto"/>
            <w:noWrap/>
            <w:vAlign w:val="center"/>
            <w:hideMark/>
          </w:tcPr>
          <w:p w14:paraId="745D9BC2" w14:textId="359CFD5B"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-4.576 </w:t>
            </w:r>
          </w:p>
        </w:tc>
        <w:tc>
          <w:tcPr>
            <w:tcW w:w="500" w:type="pct"/>
            <w:tcBorders>
              <w:top w:val="nil"/>
              <w:left w:val="nil"/>
              <w:bottom w:val="nil"/>
              <w:right w:val="nil"/>
            </w:tcBorders>
            <w:shd w:val="clear" w:color="auto" w:fill="auto"/>
            <w:noWrap/>
            <w:vAlign w:val="center"/>
            <w:hideMark/>
          </w:tcPr>
          <w:p w14:paraId="462D46B4" w14:textId="20AA239D"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51FE5084" w14:textId="3868A835"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2463ABBA" w14:textId="768B58E2"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164</w:t>
            </w:r>
            <w:r w:rsidRPr="002C3397">
              <w:rPr>
                <w:rFonts w:ascii="Arial" w:eastAsia="等线" w:hAnsi="Arial" w:cs="Arial"/>
                <w:noProof/>
                <w:color w:val="000000"/>
                <w:kern w:val="0"/>
                <w:szCs w:val="21"/>
              </w:rPr>
              <w:t>]</w:t>
            </w:r>
          </w:p>
        </w:tc>
      </w:tr>
      <w:tr w:rsidR="00916F45" w:rsidRPr="002C3397" w14:paraId="26AFAF1F"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3B8B831E" w14:textId="6DFF90DF"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ENSMUSG00000027318</w:t>
            </w:r>
          </w:p>
        </w:tc>
        <w:tc>
          <w:tcPr>
            <w:tcW w:w="916" w:type="pct"/>
            <w:gridSpan w:val="2"/>
            <w:tcBorders>
              <w:top w:val="nil"/>
              <w:left w:val="nil"/>
              <w:bottom w:val="nil"/>
              <w:right w:val="nil"/>
            </w:tcBorders>
            <w:shd w:val="clear" w:color="auto" w:fill="auto"/>
            <w:noWrap/>
            <w:vAlign w:val="center"/>
            <w:hideMark/>
          </w:tcPr>
          <w:p w14:paraId="7231EC23" w14:textId="57425BF4"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Adam33</w:t>
            </w:r>
          </w:p>
        </w:tc>
        <w:tc>
          <w:tcPr>
            <w:tcW w:w="1169" w:type="pct"/>
            <w:tcBorders>
              <w:top w:val="nil"/>
              <w:left w:val="nil"/>
              <w:bottom w:val="nil"/>
              <w:right w:val="nil"/>
            </w:tcBorders>
            <w:shd w:val="clear" w:color="auto" w:fill="auto"/>
            <w:noWrap/>
            <w:vAlign w:val="center"/>
            <w:hideMark/>
          </w:tcPr>
          <w:p w14:paraId="003CFD8B" w14:textId="39A98620"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-4.269 </w:t>
            </w:r>
          </w:p>
        </w:tc>
        <w:tc>
          <w:tcPr>
            <w:tcW w:w="500" w:type="pct"/>
            <w:tcBorders>
              <w:top w:val="nil"/>
              <w:left w:val="nil"/>
              <w:bottom w:val="nil"/>
              <w:right w:val="nil"/>
            </w:tcBorders>
            <w:shd w:val="clear" w:color="auto" w:fill="auto"/>
            <w:noWrap/>
            <w:vAlign w:val="center"/>
            <w:hideMark/>
          </w:tcPr>
          <w:p w14:paraId="3ED776AB" w14:textId="7891DC71"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6AF0484D" w14:textId="616E204C"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1F129375" w14:textId="440FA05C"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165</w:t>
            </w:r>
            <w:r w:rsidRPr="002C3397">
              <w:rPr>
                <w:rFonts w:ascii="Arial" w:eastAsia="等线" w:hAnsi="Arial" w:cs="Arial"/>
                <w:noProof/>
                <w:color w:val="000000"/>
                <w:kern w:val="0"/>
                <w:szCs w:val="21"/>
              </w:rPr>
              <w:t>]</w:t>
            </w:r>
          </w:p>
        </w:tc>
      </w:tr>
      <w:tr w:rsidR="00916F45" w:rsidRPr="002C3397" w14:paraId="5858B860"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3CDDF3E8" w14:textId="3A72E68B"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ENSMUSG00000015966</w:t>
            </w:r>
          </w:p>
        </w:tc>
        <w:tc>
          <w:tcPr>
            <w:tcW w:w="916" w:type="pct"/>
            <w:gridSpan w:val="2"/>
            <w:tcBorders>
              <w:top w:val="nil"/>
              <w:left w:val="nil"/>
              <w:bottom w:val="nil"/>
              <w:right w:val="nil"/>
            </w:tcBorders>
            <w:shd w:val="clear" w:color="auto" w:fill="auto"/>
            <w:noWrap/>
            <w:vAlign w:val="center"/>
            <w:hideMark/>
          </w:tcPr>
          <w:p w14:paraId="29E2D53D" w14:textId="46E3EFC9"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Il17rb</w:t>
            </w:r>
          </w:p>
        </w:tc>
        <w:tc>
          <w:tcPr>
            <w:tcW w:w="1169" w:type="pct"/>
            <w:tcBorders>
              <w:top w:val="nil"/>
              <w:left w:val="nil"/>
              <w:bottom w:val="nil"/>
              <w:right w:val="nil"/>
            </w:tcBorders>
            <w:shd w:val="clear" w:color="auto" w:fill="auto"/>
            <w:noWrap/>
            <w:vAlign w:val="center"/>
            <w:hideMark/>
          </w:tcPr>
          <w:p w14:paraId="7E1B4359" w14:textId="1DFA91F7"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2.277 </w:t>
            </w:r>
          </w:p>
        </w:tc>
        <w:tc>
          <w:tcPr>
            <w:tcW w:w="500" w:type="pct"/>
            <w:tcBorders>
              <w:top w:val="nil"/>
              <w:left w:val="nil"/>
              <w:bottom w:val="nil"/>
              <w:right w:val="nil"/>
            </w:tcBorders>
            <w:shd w:val="clear" w:color="auto" w:fill="auto"/>
            <w:noWrap/>
            <w:vAlign w:val="center"/>
            <w:hideMark/>
          </w:tcPr>
          <w:p w14:paraId="76F3A464" w14:textId="142DEA62"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7BF6824A" w14:textId="5BC7FC4D"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3AF15BBA" w14:textId="7BEBE66F"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166</w:t>
            </w:r>
            <w:r w:rsidRPr="002C3397">
              <w:rPr>
                <w:rFonts w:ascii="Arial" w:eastAsia="等线" w:hAnsi="Arial" w:cs="Arial"/>
                <w:noProof/>
                <w:color w:val="000000"/>
                <w:kern w:val="0"/>
                <w:szCs w:val="21"/>
              </w:rPr>
              <w:t>]</w:t>
            </w:r>
          </w:p>
        </w:tc>
      </w:tr>
      <w:tr w:rsidR="00916F45" w:rsidRPr="002C3397" w14:paraId="4576777A"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5EA6117E" w14:textId="4EFAFFFF"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ENSMUSG00000031896</w:t>
            </w:r>
          </w:p>
        </w:tc>
        <w:tc>
          <w:tcPr>
            <w:tcW w:w="916" w:type="pct"/>
            <w:gridSpan w:val="2"/>
            <w:tcBorders>
              <w:top w:val="nil"/>
              <w:left w:val="nil"/>
              <w:bottom w:val="nil"/>
              <w:right w:val="nil"/>
            </w:tcBorders>
            <w:shd w:val="clear" w:color="auto" w:fill="auto"/>
            <w:noWrap/>
            <w:vAlign w:val="center"/>
            <w:hideMark/>
          </w:tcPr>
          <w:p w14:paraId="23F9E7B7" w14:textId="22EB464C"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Ctrl</w:t>
            </w:r>
          </w:p>
        </w:tc>
        <w:tc>
          <w:tcPr>
            <w:tcW w:w="1169" w:type="pct"/>
            <w:tcBorders>
              <w:top w:val="nil"/>
              <w:left w:val="nil"/>
              <w:bottom w:val="nil"/>
              <w:right w:val="nil"/>
            </w:tcBorders>
            <w:shd w:val="clear" w:color="auto" w:fill="auto"/>
            <w:noWrap/>
            <w:vAlign w:val="center"/>
            <w:hideMark/>
          </w:tcPr>
          <w:p w14:paraId="453B2242" w14:textId="5FE434AB"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-3.040 </w:t>
            </w:r>
          </w:p>
        </w:tc>
        <w:tc>
          <w:tcPr>
            <w:tcW w:w="500" w:type="pct"/>
            <w:tcBorders>
              <w:top w:val="nil"/>
              <w:left w:val="nil"/>
              <w:bottom w:val="nil"/>
              <w:right w:val="nil"/>
            </w:tcBorders>
            <w:shd w:val="clear" w:color="auto" w:fill="auto"/>
            <w:noWrap/>
            <w:vAlign w:val="center"/>
            <w:hideMark/>
          </w:tcPr>
          <w:p w14:paraId="089E2276" w14:textId="40F9FDC9"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359CAC3C" w14:textId="32B5DA91"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56884972" w14:textId="2726C1F7"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167</w:t>
            </w:r>
            <w:r w:rsidRPr="002C3397">
              <w:rPr>
                <w:rFonts w:ascii="Arial" w:eastAsia="等线" w:hAnsi="Arial" w:cs="Arial"/>
                <w:noProof/>
                <w:color w:val="000000"/>
                <w:kern w:val="0"/>
                <w:szCs w:val="21"/>
              </w:rPr>
              <w:t>]</w:t>
            </w:r>
          </w:p>
        </w:tc>
      </w:tr>
      <w:tr w:rsidR="00916F45" w:rsidRPr="002C3397" w14:paraId="3FA9D16F"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6CD24DB9" w14:textId="515FA7C1"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ENSMUSG00000042784</w:t>
            </w:r>
          </w:p>
        </w:tc>
        <w:tc>
          <w:tcPr>
            <w:tcW w:w="916" w:type="pct"/>
            <w:gridSpan w:val="2"/>
            <w:tcBorders>
              <w:top w:val="nil"/>
              <w:left w:val="nil"/>
              <w:bottom w:val="nil"/>
              <w:right w:val="nil"/>
            </w:tcBorders>
            <w:shd w:val="clear" w:color="auto" w:fill="auto"/>
            <w:noWrap/>
            <w:vAlign w:val="center"/>
            <w:hideMark/>
          </w:tcPr>
          <w:p w14:paraId="5AFC9A35" w14:textId="488DEBFA"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Muc1</w:t>
            </w:r>
          </w:p>
        </w:tc>
        <w:tc>
          <w:tcPr>
            <w:tcW w:w="1169" w:type="pct"/>
            <w:tcBorders>
              <w:top w:val="nil"/>
              <w:left w:val="nil"/>
              <w:bottom w:val="nil"/>
              <w:right w:val="nil"/>
            </w:tcBorders>
            <w:shd w:val="clear" w:color="auto" w:fill="auto"/>
            <w:noWrap/>
            <w:vAlign w:val="center"/>
            <w:hideMark/>
          </w:tcPr>
          <w:p w14:paraId="27B4C197" w14:textId="05A46A4E"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2.860 </w:t>
            </w:r>
          </w:p>
        </w:tc>
        <w:tc>
          <w:tcPr>
            <w:tcW w:w="500" w:type="pct"/>
            <w:tcBorders>
              <w:top w:val="nil"/>
              <w:left w:val="nil"/>
              <w:bottom w:val="nil"/>
              <w:right w:val="nil"/>
            </w:tcBorders>
            <w:shd w:val="clear" w:color="auto" w:fill="auto"/>
            <w:noWrap/>
            <w:vAlign w:val="center"/>
            <w:hideMark/>
          </w:tcPr>
          <w:p w14:paraId="5C738BA1" w14:textId="78D9854F"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57C08E28" w14:textId="5583D6CD"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111A793D" w14:textId="1AC85620"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168</w:t>
            </w:r>
            <w:r w:rsidRPr="002C3397">
              <w:rPr>
                <w:rFonts w:ascii="Arial" w:eastAsia="等线" w:hAnsi="Arial" w:cs="Arial"/>
                <w:noProof/>
                <w:color w:val="000000"/>
                <w:kern w:val="0"/>
                <w:szCs w:val="21"/>
              </w:rPr>
              <w:t>]</w:t>
            </w:r>
          </w:p>
        </w:tc>
      </w:tr>
      <w:tr w:rsidR="00916F45" w:rsidRPr="002C3397" w14:paraId="3010563A"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70D4529B" w14:textId="18E852E5"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ENSMUSG00000019987</w:t>
            </w:r>
          </w:p>
        </w:tc>
        <w:tc>
          <w:tcPr>
            <w:tcW w:w="916" w:type="pct"/>
            <w:gridSpan w:val="2"/>
            <w:tcBorders>
              <w:top w:val="nil"/>
              <w:left w:val="nil"/>
              <w:bottom w:val="nil"/>
              <w:right w:val="nil"/>
            </w:tcBorders>
            <w:shd w:val="clear" w:color="auto" w:fill="auto"/>
            <w:noWrap/>
            <w:vAlign w:val="center"/>
            <w:hideMark/>
          </w:tcPr>
          <w:p w14:paraId="1C7208DC" w14:textId="3A0F81E7"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Arg1</w:t>
            </w:r>
          </w:p>
        </w:tc>
        <w:tc>
          <w:tcPr>
            <w:tcW w:w="1169" w:type="pct"/>
            <w:tcBorders>
              <w:top w:val="nil"/>
              <w:left w:val="nil"/>
              <w:bottom w:val="nil"/>
              <w:right w:val="nil"/>
            </w:tcBorders>
            <w:shd w:val="clear" w:color="auto" w:fill="auto"/>
            <w:noWrap/>
            <w:vAlign w:val="center"/>
            <w:hideMark/>
          </w:tcPr>
          <w:p w14:paraId="5DCA9FD6" w14:textId="4BAFA85A"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2.207 </w:t>
            </w:r>
          </w:p>
        </w:tc>
        <w:tc>
          <w:tcPr>
            <w:tcW w:w="500" w:type="pct"/>
            <w:tcBorders>
              <w:top w:val="nil"/>
              <w:left w:val="nil"/>
              <w:bottom w:val="nil"/>
              <w:right w:val="nil"/>
            </w:tcBorders>
            <w:shd w:val="clear" w:color="auto" w:fill="auto"/>
            <w:noWrap/>
            <w:vAlign w:val="center"/>
            <w:hideMark/>
          </w:tcPr>
          <w:p w14:paraId="4162AC42" w14:textId="4EE850C5"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01773FD0" w14:textId="6D45211A"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56D7CE40" w14:textId="5C87D4F3"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169</w:t>
            </w:r>
            <w:r w:rsidRPr="002C3397">
              <w:rPr>
                <w:rFonts w:ascii="Arial" w:eastAsia="等线" w:hAnsi="Arial" w:cs="Arial"/>
                <w:noProof/>
                <w:color w:val="000000"/>
                <w:kern w:val="0"/>
                <w:szCs w:val="21"/>
              </w:rPr>
              <w:t>]</w:t>
            </w:r>
          </w:p>
        </w:tc>
      </w:tr>
      <w:tr w:rsidR="00916F45" w:rsidRPr="002C3397" w14:paraId="557B6564"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7DC8C05D" w14:textId="65891072"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ENSMUSG00000003849</w:t>
            </w:r>
          </w:p>
        </w:tc>
        <w:tc>
          <w:tcPr>
            <w:tcW w:w="916" w:type="pct"/>
            <w:gridSpan w:val="2"/>
            <w:tcBorders>
              <w:top w:val="nil"/>
              <w:left w:val="nil"/>
              <w:bottom w:val="nil"/>
              <w:right w:val="nil"/>
            </w:tcBorders>
            <w:shd w:val="clear" w:color="auto" w:fill="auto"/>
            <w:noWrap/>
            <w:vAlign w:val="center"/>
            <w:hideMark/>
          </w:tcPr>
          <w:p w14:paraId="1988B310" w14:textId="44981BD7"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Nqo1</w:t>
            </w:r>
          </w:p>
        </w:tc>
        <w:tc>
          <w:tcPr>
            <w:tcW w:w="1169" w:type="pct"/>
            <w:tcBorders>
              <w:top w:val="nil"/>
              <w:left w:val="nil"/>
              <w:bottom w:val="nil"/>
              <w:right w:val="nil"/>
            </w:tcBorders>
            <w:shd w:val="clear" w:color="auto" w:fill="auto"/>
            <w:noWrap/>
            <w:vAlign w:val="center"/>
            <w:hideMark/>
          </w:tcPr>
          <w:p w14:paraId="2C4A2948" w14:textId="7616A53B"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2.211 </w:t>
            </w:r>
          </w:p>
        </w:tc>
        <w:tc>
          <w:tcPr>
            <w:tcW w:w="500" w:type="pct"/>
            <w:tcBorders>
              <w:top w:val="nil"/>
              <w:left w:val="nil"/>
              <w:bottom w:val="nil"/>
              <w:right w:val="nil"/>
            </w:tcBorders>
            <w:shd w:val="clear" w:color="auto" w:fill="auto"/>
            <w:noWrap/>
            <w:vAlign w:val="center"/>
            <w:hideMark/>
          </w:tcPr>
          <w:p w14:paraId="341E7909" w14:textId="3A82C7CB"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10162BDC" w14:textId="5B344D5D"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3D9D4561" w14:textId="77363B9F"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170</w:t>
            </w:r>
            <w:r w:rsidRPr="002C3397">
              <w:rPr>
                <w:rFonts w:ascii="Arial" w:eastAsia="等线" w:hAnsi="Arial" w:cs="Arial"/>
                <w:noProof/>
                <w:color w:val="000000"/>
                <w:kern w:val="0"/>
                <w:szCs w:val="21"/>
              </w:rPr>
              <w:t>]</w:t>
            </w:r>
          </w:p>
        </w:tc>
      </w:tr>
      <w:tr w:rsidR="00916F45" w:rsidRPr="002C3397" w14:paraId="4286315C"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79ED8E48" w14:textId="1B349391"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ENSMUSG00000062585</w:t>
            </w:r>
          </w:p>
        </w:tc>
        <w:tc>
          <w:tcPr>
            <w:tcW w:w="916" w:type="pct"/>
            <w:gridSpan w:val="2"/>
            <w:tcBorders>
              <w:top w:val="nil"/>
              <w:left w:val="nil"/>
              <w:bottom w:val="nil"/>
              <w:right w:val="nil"/>
            </w:tcBorders>
            <w:shd w:val="clear" w:color="auto" w:fill="auto"/>
            <w:noWrap/>
            <w:vAlign w:val="center"/>
            <w:hideMark/>
          </w:tcPr>
          <w:p w14:paraId="29786202" w14:textId="6BCE40D0"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Cnr2</w:t>
            </w:r>
          </w:p>
        </w:tc>
        <w:tc>
          <w:tcPr>
            <w:tcW w:w="1169" w:type="pct"/>
            <w:tcBorders>
              <w:top w:val="nil"/>
              <w:left w:val="nil"/>
              <w:bottom w:val="nil"/>
              <w:right w:val="nil"/>
            </w:tcBorders>
            <w:shd w:val="clear" w:color="auto" w:fill="auto"/>
            <w:noWrap/>
            <w:vAlign w:val="center"/>
            <w:hideMark/>
          </w:tcPr>
          <w:p w14:paraId="0A54B854" w14:textId="33326B17"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-2.258 </w:t>
            </w:r>
          </w:p>
        </w:tc>
        <w:tc>
          <w:tcPr>
            <w:tcW w:w="500" w:type="pct"/>
            <w:tcBorders>
              <w:top w:val="nil"/>
              <w:left w:val="nil"/>
              <w:bottom w:val="nil"/>
              <w:right w:val="nil"/>
            </w:tcBorders>
            <w:shd w:val="clear" w:color="auto" w:fill="auto"/>
            <w:noWrap/>
            <w:vAlign w:val="center"/>
            <w:hideMark/>
          </w:tcPr>
          <w:p w14:paraId="6F301A92" w14:textId="1BF10DEF"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23784BC0" w14:textId="4A8854FF"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58FED034" w14:textId="294B7D53"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171</w:t>
            </w:r>
            <w:r w:rsidRPr="002C3397">
              <w:rPr>
                <w:rFonts w:ascii="Arial" w:eastAsia="等线" w:hAnsi="Arial" w:cs="Arial"/>
                <w:noProof/>
                <w:color w:val="000000"/>
                <w:kern w:val="0"/>
                <w:szCs w:val="21"/>
              </w:rPr>
              <w:t>]</w:t>
            </w:r>
          </w:p>
        </w:tc>
      </w:tr>
      <w:tr w:rsidR="00916F45" w:rsidRPr="002C3397" w14:paraId="57F6D034"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3120616D" w14:textId="680B7EA3"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ENSMUSG00000052013</w:t>
            </w:r>
          </w:p>
        </w:tc>
        <w:tc>
          <w:tcPr>
            <w:tcW w:w="916" w:type="pct"/>
            <w:gridSpan w:val="2"/>
            <w:tcBorders>
              <w:top w:val="nil"/>
              <w:left w:val="nil"/>
              <w:bottom w:val="nil"/>
              <w:right w:val="nil"/>
            </w:tcBorders>
            <w:shd w:val="clear" w:color="auto" w:fill="auto"/>
            <w:noWrap/>
            <w:vAlign w:val="center"/>
            <w:hideMark/>
          </w:tcPr>
          <w:p w14:paraId="4246659E" w14:textId="3237C0D7"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Btla</w:t>
            </w:r>
          </w:p>
        </w:tc>
        <w:tc>
          <w:tcPr>
            <w:tcW w:w="1169" w:type="pct"/>
            <w:tcBorders>
              <w:top w:val="nil"/>
              <w:left w:val="nil"/>
              <w:bottom w:val="nil"/>
              <w:right w:val="nil"/>
            </w:tcBorders>
            <w:shd w:val="clear" w:color="auto" w:fill="auto"/>
            <w:noWrap/>
            <w:vAlign w:val="center"/>
            <w:hideMark/>
          </w:tcPr>
          <w:p w14:paraId="21B54221" w14:textId="018503A0"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-4.449 </w:t>
            </w:r>
          </w:p>
        </w:tc>
        <w:tc>
          <w:tcPr>
            <w:tcW w:w="500" w:type="pct"/>
            <w:tcBorders>
              <w:top w:val="nil"/>
              <w:left w:val="nil"/>
              <w:bottom w:val="nil"/>
              <w:right w:val="nil"/>
            </w:tcBorders>
            <w:shd w:val="clear" w:color="auto" w:fill="auto"/>
            <w:noWrap/>
            <w:vAlign w:val="center"/>
            <w:hideMark/>
          </w:tcPr>
          <w:p w14:paraId="41B6BCC3" w14:textId="09EAE3B6"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1A745757" w14:textId="75B6BF01"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7C47578E" w14:textId="301B24CF"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172</w:t>
            </w:r>
            <w:r w:rsidRPr="002C3397">
              <w:rPr>
                <w:rFonts w:ascii="Arial" w:eastAsia="等线" w:hAnsi="Arial" w:cs="Arial"/>
                <w:noProof/>
                <w:color w:val="000000"/>
                <w:kern w:val="0"/>
                <w:szCs w:val="21"/>
              </w:rPr>
              <w:t>]</w:t>
            </w:r>
          </w:p>
        </w:tc>
      </w:tr>
      <w:tr w:rsidR="00916F45" w:rsidRPr="002C3397" w14:paraId="475EA97B"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329E5134" w14:textId="375A9C0C"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ENSMUSG00000030156</w:t>
            </w:r>
          </w:p>
        </w:tc>
        <w:tc>
          <w:tcPr>
            <w:tcW w:w="916" w:type="pct"/>
            <w:gridSpan w:val="2"/>
            <w:tcBorders>
              <w:top w:val="nil"/>
              <w:left w:val="nil"/>
              <w:bottom w:val="nil"/>
              <w:right w:val="nil"/>
            </w:tcBorders>
            <w:shd w:val="clear" w:color="auto" w:fill="auto"/>
            <w:noWrap/>
            <w:vAlign w:val="center"/>
            <w:hideMark/>
          </w:tcPr>
          <w:p w14:paraId="7E9E0A75" w14:textId="599AD45F"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Cd69</w:t>
            </w:r>
          </w:p>
        </w:tc>
        <w:tc>
          <w:tcPr>
            <w:tcW w:w="1169" w:type="pct"/>
            <w:tcBorders>
              <w:top w:val="nil"/>
              <w:left w:val="nil"/>
              <w:bottom w:val="nil"/>
              <w:right w:val="nil"/>
            </w:tcBorders>
            <w:shd w:val="clear" w:color="auto" w:fill="auto"/>
            <w:noWrap/>
            <w:vAlign w:val="center"/>
            <w:hideMark/>
          </w:tcPr>
          <w:p w14:paraId="10043127" w14:textId="5293CEF7"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-3.662 </w:t>
            </w:r>
          </w:p>
        </w:tc>
        <w:tc>
          <w:tcPr>
            <w:tcW w:w="500" w:type="pct"/>
            <w:tcBorders>
              <w:top w:val="nil"/>
              <w:left w:val="nil"/>
              <w:bottom w:val="nil"/>
              <w:right w:val="nil"/>
            </w:tcBorders>
            <w:shd w:val="clear" w:color="auto" w:fill="auto"/>
            <w:noWrap/>
            <w:vAlign w:val="center"/>
            <w:hideMark/>
          </w:tcPr>
          <w:p w14:paraId="0BDE6862" w14:textId="09EBBCD1"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6E572874" w14:textId="1DFC4896"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20B7D477" w14:textId="2FBD92EE"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173</w:t>
            </w:r>
            <w:r w:rsidRPr="002C3397">
              <w:rPr>
                <w:rFonts w:ascii="Arial" w:eastAsia="等线" w:hAnsi="Arial" w:cs="Arial"/>
                <w:noProof/>
                <w:color w:val="000000"/>
                <w:kern w:val="0"/>
                <w:szCs w:val="21"/>
              </w:rPr>
              <w:t>]</w:t>
            </w:r>
          </w:p>
        </w:tc>
      </w:tr>
      <w:tr w:rsidR="00916F45" w:rsidRPr="002C3397" w14:paraId="52D8C1F0"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15989BC4" w14:textId="38B2256A"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ENSMUSG00000001663</w:t>
            </w:r>
          </w:p>
        </w:tc>
        <w:tc>
          <w:tcPr>
            <w:tcW w:w="916" w:type="pct"/>
            <w:gridSpan w:val="2"/>
            <w:tcBorders>
              <w:top w:val="nil"/>
              <w:left w:val="nil"/>
              <w:bottom w:val="nil"/>
              <w:right w:val="nil"/>
            </w:tcBorders>
            <w:shd w:val="clear" w:color="auto" w:fill="auto"/>
            <w:noWrap/>
            <w:vAlign w:val="center"/>
            <w:hideMark/>
          </w:tcPr>
          <w:p w14:paraId="1A9C7E01" w14:textId="5CB97FF8"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Gstt1</w:t>
            </w:r>
          </w:p>
        </w:tc>
        <w:tc>
          <w:tcPr>
            <w:tcW w:w="1169" w:type="pct"/>
            <w:tcBorders>
              <w:top w:val="nil"/>
              <w:left w:val="nil"/>
              <w:bottom w:val="nil"/>
              <w:right w:val="nil"/>
            </w:tcBorders>
            <w:shd w:val="clear" w:color="auto" w:fill="auto"/>
            <w:noWrap/>
            <w:vAlign w:val="center"/>
            <w:hideMark/>
          </w:tcPr>
          <w:p w14:paraId="009AB100" w14:textId="6AF327F5"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-3.958 </w:t>
            </w:r>
          </w:p>
        </w:tc>
        <w:tc>
          <w:tcPr>
            <w:tcW w:w="500" w:type="pct"/>
            <w:tcBorders>
              <w:top w:val="nil"/>
              <w:left w:val="nil"/>
              <w:bottom w:val="nil"/>
              <w:right w:val="nil"/>
            </w:tcBorders>
            <w:shd w:val="clear" w:color="auto" w:fill="auto"/>
            <w:noWrap/>
            <w:vAlign w:val="center"/>
            <w:hideMark/>
          </w:tcPr>
          <w:p w14:paraId="49850F29" w14:textId="726D63B9"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10A380A6" w14:textId="79F02E21"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6B8B1CB2" w14:textId="3F5B139F"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174</w:t>
            </w:r>
            <w:r w:rsidRPr="002C3397">
              <w:rPr>
                <w:rFonts w:ascii="Arial" w:eastAsia="等线" w:hAnsi="Arial" w:cs="Arial"/>
                <w:noProof/>
                <w:color w:val="000000"/>
                <w:kern w:val="0"/>
                <w:szCs w:val="21"/>
              </w:rPr>
              <w:t>]</w:t>
            </w:r>
          </w:p>
        </w:tc>
      </w:tr>
      <w:tr w:rsidR="00916F45" w:rsidRPr="002C3397" w14:paraId="5370FF99"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6094F5F8" w14:textId="7ACA603C"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ENSMUSG00000045382</w:t>
            </w:r>
          </w:p>
        </w:tc>
        <w:tc>
          <w:tcPr>
            <w:tcW w:w="916" w:type="pct"/>
            <w:gridSpan w:val="2"/>
            <w:tcBorders>
              <w:top w:val="nil"/>
              <w:left w:val="nil"/>
              <w:bottom w:val="nil"/>
              <w:right w:val="nil"/>
            </w:tcBorders>
            <w:shd w:val="clear" w:color="auto" w:fill="auto"/>
            <w:noWrap/>
            <w:vAlign w:val="center"/>
            <w:hideMark/>
          </w:tcPr>
          <w:p w14:paraId="4DAD0681" w14:textId="24953994"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Cxcr4</w:t>
            </w:r>
          </w:p>
        </w:tc>
        <w:tc>
          <w:tcPr>
            <w:tcW w:w="1169" w:type="pct"/>
            <w:tcBorders>
              <w:top w:val="nil"/>
              <w:left w:val="nil"/>
              <w:bottom w:val="nil"/>
              <w:right w:val="nil"/>
            </w:tcBorders>
            <w:shd w:val="clear" w:color="auto" w:fill="auto"/>
            <w:noWrap/>
            <w:vAlign w:val="center"/>
            <w:hideMark/>
          </w:tcPr>
          <w:p w14:paraId="01DF73C9" w14:textId="11A2A076"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3.737 </w:t>
            </w:r>
          </w:p>
        </w:tc>
        <w:tc>
          <w:tcPr>
            <w:tcW w:w="500" w:type="pct"/>
            <w:tcBorders>
              <w:top w:val="nil"/>
              <w:left w:val="nil"/>
              <w:bottom w:val="nil"/>
              <w:right w:val="nil"/>
            </w:tcBorders>
            <w:shd w:val="clear" w:color="auto" w:fill="auto"/>
            <w:noWrap/>
            <w:vAlign w:val="center"/>
            <w:hideMark/>
          </w:tcPr>
          <w:p w14:paraId="74698F3A" w14:textId="4402F329"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10A8A088" w14:textId="259496C9"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30234092" w14:textId="0F32DAED"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175</w:t>
            </w:r>
            <w:r w:rsidRPr="002C3397">
              <w:rPr>
                <w:rFonts w:ascii="Arial" w:eastAsia="等线" w:hAnsi="Arial" w:cs="Arial"/>
                <w:noProof/>
                <w:color w:val="000000"/>
                <w:kern w:val="0"/>
                <w:szCs w:val="21"/>
              </w:rPr>
              <w:t>]</w:t>
            </w:r>
          </w:p>
        </w:tc>
      </w:tr>
      <w:tr w:rsidR="00916F45" w:rsidRPr="002C3397" w14:paraId="05480F3A"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310A7344" w14:textId="786F0E30"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ENSMUSG00000037542</w:t>
            </w:r>
          </w:p>
        </w:tc>
        <w:tc>
          <w:tcPr>
            <w:tcW w:w="916" w:type="pct"/>
            <w:gridSpan w:val="2"/>
            <w:tcBorders>
              <w:top w:val="nil"/>
              <w:left w:val="nil"/>
              <w:bottom w:val="nil"/>
              <w:right w:val="nil"/>
            </w:tcBorders>
            <w:shd w:val="clear" w:color="auto" w:fill="auto"/>
            <w:noWrap/>
            <w:vAlign w:val="center"/>
            <w:hideMark/>
          </w:tcPr>
          <w:p w14:paraId="78F4B3A5" w14:textId="6C3873B4"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Aldh8a1</w:t>
            </w:r>
          </w:p>
        </w:tc>
        <w:tc>
          <w:tcPr>
            <w:tcW w:w="1169" w:type="pct"/>
            <w:tcBorders>
              <w:top w:val="nil"/>
              <w:left w:val="nil"/>
              <w:bottom w:val="nil"/>
              <w:right w:val="nil"/>
            </w:tcBorders>
            <w:shd w:val="clear" w:color="auto" w:fill="auto"/>
            <w:noWrap/>
            <w:vAlign w:val="center"/>
            <w:hideMark/>
          </w:tcPr>
          <w:p w14:paraId="5E9CA6C4" w14:textId="57FE0E61"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4.155 </w:t>
            </w:r>
          </w:p>
        </w:tc>
        <w:tc>
          <w:tcPr>
            <w:tcW w:w="500" w:type="pct"/>
            <w:tcBorders>
              <w:top w:val="nil"/>
              <w:left w:val="nil"/>
              <w:bottom w:val="nil"/>
              <w:right w:val="nil"/>
            </w:tcBorders>
            <w:shd w:val="clear" w:color="auto" w:fill="auto"/>
            <w:noWrap/>
            <w:vAlign w:val="center"/>
            <w:hideMark/>
          </w:tcPr>
          <w:p w14:paraId="3AB6A7B6" w14:textId="1DF3E0E5"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0C4CCA49" w14:textId="2B4570E6"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78F90BD6" w14:textId="7783ECA6"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176</w:t>
            </w:r>
            <w:r w:rsidRPr="002C3397">
              <w:rPr>
                <w:rFonts w:ascii="Arial" w:eastAsia="等线" w:hAnsi="Arial" w:cs="Arial"/>
                <w:noProof/>
                <w:color w:val="000000"/>
                <w:kern w:val="0"/>
                <w:szCs w:val="21"/>
              </w:rPr>
              <w:t>]</w:t>
            </w:r>
          </w:p>
        </w:tc>
      </w:tr>
      <w:tr w:rsidR="00916F45" w:rsidRPr="002C3397" w14:paraId="02ABB608"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387CC890" w14:textId="4ED4EDDF"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ENSMUSG00000031078</w:t>
            </w:r>
          </w:p>
        </w:tc>
        <w:tc>
          <w:tcPr>
            <w:tcW w:w="916" w:type="pct"/>
            <w:gridSpan w:val="2"/>
            <w:tcBorders>
              <w:top w:val="nil"/>
              <w:left w:val="nil"/>
              <w:bottom w:val="nil"/>
              <w:right w:val="nil"/>
            </w:tcBorders>
            <w:shd w:val="clear" w:color="auto" w:fill="auto"/>
            <w:noWrap/>
            <w:vAlign w:val="center"/>
            <w:hideMark/>
          </w:tcPr>
          <w:p w14:paraId="26270166" w14:textId="44BCA00C"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Cttn</w:t>
            </w:r>
          </w:p>
        </w:tc>
        <w:tc>
          <w:tcPr>
            <w:tcW w:w="1169" w:type="pct"/>
            <w:tcBorders>
              <w:top w:val="nil"/>
              <w:left w:val="nil"/>
              <w:bottom w:val="nil"/>
              <w:right w:val="nil"/>
            </w:tcBorders>
            <w:shd w:val="clear" w:color="auto" w:fill="auto"/>
            <w:noWrap/>
            <w:vAlign w:val="center"/>
            <w:hideMark/>
          </w:tcPr>
          <w:p w14:paraId="416D6BAA" w14:textId="372779FC"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2.599 </w:t>
            </w:r>
          </w:p>
        </w:tc>
        <w:tc>
          <w:tcPr>
            <w:tcW w:w="500" w:type="pct"/>
            <w:tcBorders>
              <w:top w:val="nil"/>
              <w:left w:val="nil"/>
              <w:bottom w:val="nil"/>
              <w:right w:val="nil"/>
            </w:tcBorders>
            <w:shd w:val="clear" w:color="auto" w:fill="auto"/>
            <w:noWrap/>
            <w:vAlign w:val="center"/>
            <w:hideMark/>
          </w:tcPr>
          <w:p w14:paraId="1DC828C9" w14:textId="3642B29E"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22D15A33" w14:textId="059D974C"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547E0C53" w14:textId="460D367E"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177</w:t>
            </w:r>
            <w:r w:rsidRPr="002C3397">
              <w:rPr>
                <w:rFonts w:ascii="Arial" w:eastAsia="等线" w:hAnsi="Arial" w:cs="Arial"/>
                <w:noProof/>
                <w:color w:val="000000"/>
                <w:kern w:val="0"/>
                <w:szCs w:val="21"/>
              </w:rPr>
              <w:t>]</w:t>
            </w:r>
          </w:p>
        </w:tc>
      </w:tr>
      <w:tr w:rsidR="00916F45" w:rsidRPr="002C3397" w14:paraId="693DE103"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1072F746" w14:textId="6F79D2C9"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ENSMUSG00000027204</w:t>
            </w:r>
          </w:p>
        </w:tc>
        <w:tc>
          <w:tcPr>
            <w:tcW w:w="916" w:type="pct"/>
            <w:gridSpan w:val="2"/>
            <w:tcBorders>
              <w:top w:val="nil"/>
              <w:left w:val="nil"/>
              <w:bottom w:val="nil"/>
              <w:right w:val="nil"/>
            </w:tcBorders>
            <w:shd w:val="clear" w:color="auto" w:fill="auto"/>
            <w:noWrap/>
            <w:vAlign w:val="center"/>
            <w:hideMark/>
          </w:tcPr>
          <w:p w14:paraId="2584EBE9" w14:textId="009734AC"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Fbn1</w:t>
            </w:r>
          </w:p>
        </w:tc>
        <w:tc>
          <w:tcPr>
            <w:tcW w:w="1169" w:type="pct"/>
            <w:tcBorders>
              <w:top w:val="nil"/>
              <w:left w:val="nil"/>
              <w:bottom w:val="nil"/>
              <w:right w:val="nil"/>
            </w:tcBorders>
            <w:shd w:val="clear" w:color="auto" w:fill="auto"/>
            <w:noWrap/>
            <w:vAlign w:val="center"/>
            <w:hideMark/>
          </w:tcPr>
          <w:p w14:paraId="775B0BF4" w14:textId="10912B50"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-6.851 </w:t>
            </w:r>
          </w:p>
        </w:tc>
        <w:tc>
          <w:tcPr>
            <w:tcW w:w="500" w:type="pct"/>
            <w:tcBorders>
              <w:top w:val="nil"/>
              <w:left w:val="nil"/>
              <w:bottom w:val="nil"/>
              <w:right w:val="nil"/>
            </w:tcBorders>
            <w:shd w:val="clear" w:color="auto" w:fill="auto"/>
            <w:noWrap/>
            <w:vAlign w:val="center"/>
            <w:hideMark/>
          </w:tcPr>
          <w:p w14:paraId="7AE68653" w14:textId="62A25F67"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78BC1390" w14:textId="5EDA97B5"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tcPr>
          <w:p w14:paraId="62476D6D" w14:textId="2DC3DEF0"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178</w:t>
            </w:r>
            <w:r w:rsidRPr="002C3397">
              <w:rPr>
                <w:rFonts w:ascii="Arial" w:eastAsia="等线" w:hAnsi="Arial" w:cs="Arial"/>
                <w:noProof/>
                <w:color w:val="000000"/>
                <w:kern w:val="0"/>
                <w:szCs w:val="21"/>
              </w:rPr>
              <w:t>]</w:t>
            </w:r>
          </w:p>
        </w:tc>
      </w:tr>
      <w:tr w:rsidR="00916F45" w:rsidRPr="002C3397" w14:paraId="60F1BD5F"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05EE17F2" w14:textId="70B123BA"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ENSMUSG00000033377</w:t>
            </w:r>
          </w:p>
        </w:tc>
        <w:tc>
          <w:tcPr>
            <w:tcW w:w="916" w:type="pct"/>
            <w:gridSpan w:val="2"/>
            <w:tcBorders>
              <w:top w:val="nil"/>
              <w:left w:val="nil"/>
              <w:bottom w:val="nil"/>
              <w:right w:val="nil"/>
            </w:tcBorders>
            <w:shd w:val="clear" w:color="auto" w:fill="auto"/>
            <w:noWrap/>
            <w:vAlign w:val="center"/>
            <w:hideMark/>
          </w:tcPr>
          <w:p w14:paraId="1A1948F4" w14:textId="6634B331"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Palmd</w:t>
            </w:r>
          </w:p>
        </w:tc>
        <w:tc>
          <w:tcPr>
            <w:tcW w:w="1169" w:type="pct"/>
            <w:tcBorders>
              <w:top w:val="nil"/>
              <w:left w:val="nil"/>
              <w:bottom w:val="nil"/>
              <w:right w:val="nil"/>
            </w:tcBorders>
            <w:shd w:val="clear" w:color="auto" w:fill="auto"/>
            <w:noWrap/>
            <w:vAlign w:val="center"/>
            <w:hideMark/>
          </w:tcPr>
          <w:p w14:paraId="5710684B" w14:textId="2A02E6CE"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4.104 </w:t>
            </w:r>
          </w:p>
        </w:tc>
        <w:tc>
          <w:tcPr>
            <w:tcW w:w="500" w:type="pct"/>
            <w:tcBorders>
              <w:top w:val="nil"/>
              <w:left w:val="nil"/>
              <w:bottom w:val="nil"/>
              <w:right w:val="nil"/>
            </w:tcBorders>
            <w:shd w:val="clear" w:color="auto" w:fill="auto"/>
            <w:noWrap/>
            <w:vAlign w:val="center"/>
            <w:hideMark/>
          </w:tcPr>
          <w:p w14:paraId="2B7DF32B" w14:textId="30115C2B"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19E67E02" w14:textId="00BBDC73"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tcPr>
          <w:p w14:paraId="3A7CCDD8" w14:textId="0DD5C06B"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179</w:t>
            </w:r>
            <w:r w:rsidRPr="002C3397">
              <w:rPr>
                <w:rFonts w:ascii="Arial" w:eastAsia="等线" w:hAnsi="Arial" w:cs="Arial"/>
                <w:noProof/>
                <w:color w:val="000000"/>
                <w:kern w:val="0"/>
                <w:szCs w:val="21"/>
              </w:rPr>
              <w:t>]</w:t>
            </w:r>
          </w:p>
        </w:tc>
      </w:tr>
      <w:tr w:rsidR="00916F45" w:rsidRPr="002C3397" w14:paraId="66D6DA81"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34FAC08D" w14:textId="4DDDCF7C"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ENSMUSG00000047959</w:t>
            </w:r>
          </w:p>
        </w:tc>
        <w:tc>
          <w:tcPr>
            <w:tcW w:w="916" w:type="pct"/>
            <w:gridSpan w:val="2"/>
            <w:tcBorders>
              <w:top w:val="nil"/>
              <w:left w:val="nil"/>
              <w:bottom w:val="nil"/>
              <w:right w:val="nil"/>
            </w:tcBorders>
            <w:shd w:val="clear" w:color="auto" w:fill="auto"/>
            <w:noWrap/>
            <w:vAlign w:val="center"/>
            <w:hideMark/>
          </w:tcPr>
          <w:p w14:paraId="12B9AF4D" w14:textId="79356D1D"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Kcna3</w:t>
            </w:r>
          </w:p>
        </w:tc>
        <w:tc>
          <w:tcPr>
            <w:tcW w:w="1169" w:type="pct"/>
            <w:tcBorders>
              <w:top w:val="nil"/>
              <w:left w:val="nil"/>
              <w:bottom w:val="nil"/>
              <w:right w:val="nil"/>
            </w:tcBorders>
            <w:shd w:val="clear" w:color="auto" w:fill="auto"/>
            <w:noWrap/>
            <w:vAlign w:val="center"/>
            <w:hideMark/>
          </w:tcPr>
          <w:p w14:paraId="7886DAC9" w14:textId="6F87D8B8"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-6.441 </w:t>
            </w:r>
          </w:p>
        </w:tc>
        <w:tc>
          <w:tcPr>
            <w:tcW w:w="500" w:type="pct"/>
            <w:tcBorders>
              <w:top w:val="nil"/>
              <w:left w:val="nil"/>
              <w:bottom w:val="nil"/>
              <w:right w:val="nil"/>
            </w:tcBorders>
            <w:shd w:val="clear" w:color="auto" w:fill="auto"/>
            <w:noWrap/>
            <w:vAlign w:val="center"/>
            <w:hideMark/>
          </w:tcPr>
          <w:p w14:paraId="68844B9A" w14:textId="01BEC8B2"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36553314" w14:textId="4091C492"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7D9561D3" w14:textId="64446997"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180</w:t>
            </w:r>
            <w:r w:rsidRPr="002C3397">
              <w:rPr>
                <w:rFonts w:ascii="Arial" w:eastAsia="等线" w:hAnsi="Arial" w:cs="Arial"/>
                <w:noProof/>
                <w:color w:val="000000"/>
                <w:kern w:val="0"/>
                <w:szCs w:val="21"/>
              </w:rPr>
              <w:t>]</w:t>
            </w:r>
          </w:p>
        </w:tc>
      </w:tr>
      <w:tr w:rsidR="00916F45" w:rsidRPr="002C3397" w14:paraId="4BE362E9"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5B8974A2" w14:textId="2CFBE37A"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ENSMUSG00000005320</w:t>
            </w:r>
          </w:p>
        </w:tc>
        <w:tc>
          <w:tcPr>
            <w:tcW w:w="916" w:type="pct"/>
            <w:gridSpan w:val="2"/>
            <w:tcBorders>
              <w:top w:val="nil"/>
              <w:left w:val="nil"/>
              <w:bottom w:val="nil"/>
              <w:right w:val="nil"/>
            </w:tcBorders>
            <w:shd w:val="clear" w:color="auto" w:fill="auto"/>
            <w:noWrap/>
            <w:vAlign w:val="center"/>
            <w:hideMark/>
          </w:tcPr>
          <w:p w14:paraId="434C48A9" w14:textId="388E59CB"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Fgfr4</w:t>
            </w:r>
          </w:p>
        </w:tc>
        <w:tc>
          <w:tcPr>
            <w:tcW w:w="1169" w:type="pct"/>
            <w:tcBorders>
              <w:top w:val="nil"/>
              <w:left w:val="nil"/>
              <w:bottom w:val="nil"/>
              <w:right w:val="nil"/>
            </w:tcBorders>
            <w:shd w:val="clear" w:color="auto" w:fill="auto"/>
            <w:noWrap/>
            <w:vAlign w:val="center"/>
            <w:hideMark/>
          </w:tcPr>
          <w:p w14:paraId="608C651E" w14:textId="4B72CB19"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2.794 </w:t>
            </w:r>
          </w:p>
        </w:tc>
        <w:tc>
          <w:tcPr>
            <w:tcW w:w="500" w:type="pct"/>
            <w:tcBorders>
              <w:top w:val="nil"/>
              <w:left w:val="nil"/>
              <w:bottom w:val="nil"/>
              <w:right w:val="nil"/>
            </w:tcBorders>
            <w:shd w:val="clear" w:color="auto" w:fill="auto"/>
            <w:noWrap/>
            <w:vAlign w:val="center"/>
            <w:hideMark/>
          </w:tcPr>
          <w:p w14:paraId="0510150E" w14:textId="573B1C41"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550475CE" w14:textId="50BE173A"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272830C3" w14:textId="2FE9403D"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181</w:t>
            </w:r>
            <w:r w:rsidRPr="002C3397">
              <w:rPr>
                <w:rFonts w:ascii="Arial" w:eastAsia="等线" w:hAnsi="Arial" w:cs="Arial"/>
                <w:noProof/>
                <w:color w:val="000000"/>
                <w:kern w:val="0"/>
                <w:szCs w:val="21"/>
              </w:rPr>
              <w:t>]</w:t>
            </w:r>
          </w:p>
        </w:tc>
      </w:tr>
      <w:tr w:rsidR="00916F45" w:rsidRPr="002C3397" w14:paraId="329807A7"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6D5655B7" w14:textId="0B749967"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ENSMUSG00000038179</w:t>
            </w:r>
          </w:p>
        </w:tc>
        <w:tc>
          <w:tcPr>
            <w:tcW w:w="916" w:type="pct"/>
            <w:gridSpan w:val="2"/>
            <w:tcBorders>
              <w:top w:val="nil"/>
              <w:left w:val="nil"/>
              <w:bottom w:val="nil"/>
              <w:right w:val="nil"/>
            </w:tcBorders>
            <w:shd w:val="clear" w:color="auto" w:fill="auto"/>
            <w:noWrap/>
            <w:vAlign w:val="center"/>
            <w:hideMark/>
          </w:tcPr>
          <w:p w14:paraId="24233BDA" w14:textId="5E840060"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Slamf7</w:t>
            </w:r>
          </w:p>
        </w:tc>
        <w:tc>
          <w:tcPr>
            <w:tcW w:w="1169" w:type="pct"/>
            <w:tcBorders>
              <w:top w:val="nil"/>
              <w:left w:val="nil"/>
              <w:bottom w:val="nil"/>
              <w:right w:val="nil"/>
            </w:tcBorders>
            <w:shd w:val="clear" w:color="auto" w:fill="auto"/>
            <w:noWrap/>
            <w:vAlign w:val="center"/>
            <w:hideMark/>
          </w:tcPr>
          <w:p w14:paraId="76BBE319" w14:textId="2B73294E"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3.566 </w:t>
            </w:r>
          </w:p>
        </w:tc>
        <w:tc>
          <w:tcPr>
            <w:tcW w:w="500" w:type="pct"/>
            <w:tcBorders>
              <w:top w:val="nil"/>
              <w:left w:val="nil"/>
              <w:bottom w:val="nil"/>
              <w:right w:val="nil"/>
            </w:tcBorders>
            <w:shd w:val="clear" w:color="auto" w:fill="auto"/>
            <w:noWrap/>
            <w:vAlign w:val="center"/>
            <w:hideMark/>
          </w:tcPr>
          <w:p w14:paraId="21042C2C" w14:textId="4F74F6AD"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381F51A7" w14:textId="01EBB067"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248C39F4" w14:textId="24290987"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182</w:t>
            </w:r>
            <w:r w:rsidRPr="002C3397">
              <w:rPr>
                <w:rFonts w:ascii="Arial" w:eastAsia="等线" w:hAnsi="Arial" w:cs="Arial"/>
                <w:noProof/>
                <w:color w:val="000000"/>
                <w:kern w:val="0"/>
                <w:szCs w:val="21"/>
              </w:rPr>
              <w:t>]</w:t>
            </w:r>
          </w:p>
        </w:tc>
      </w:tr>
      <w:tr w:rsidR="00916F45" w:rsidRPr="002C3397" w14:paraId="2528E9F3"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0D6A6C7C" w14:textId="7692D44A"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ENSMUSG00000034881</w:t>
            </w:r>
          </w:p>
        </w:tc>
        <w:tc>
          <w:tcPr>
            <w:tcW w:w="916" w:type="pct"/>
            <w:gridSpan w:val="2"/>
            <w:tcBorders>
              <w:top w:val="nil"/>
              <w:left w:val="nil"/>
              <w:bottom w:val="nil"/>
              <w:right w:val="nil"/>
            </w:tcBorders>
            <w:shd w:val="clear" w:color="auto" w:fill="auto"/>
            <w:noWrap/>
            <w:vAlign w:val="center"/>
            <w:hideMark/>
          </w:tcPr>
          <w:p w14:paraId="46D08A38" w14:textId="330C810C"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Tbxa2r</w:t>
            </w:r>
          </w:p>
        </w:tc>
        <w:tc>
          <w:tcPr>
            <w:tcW w:w="1169" w:type="pct"/>
            <w:tcBorders>
              <w:top w:val="nil"/>
              <w:left w:val="nil"/>
              <w:bottom w:val="nil"/>
              <w:right w:val="nil"/>
            </w:tcBorders>
            <w:shd w:val="clear" w:color="auto" w:fill="auto"/>
            <w:noWrap/>
            <w:vAlign w:val="center"/>
            <w:hideMark/>
          </w:tcPr>
          <w:p w14:paraId="49535086" w14:textId="28AC2923"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2.872 </w:t>
            </w:r>
          </w:p>
        </w:tc>
        <w:tc>
          <w:tcPr>
            <w:tcW w:w="500" w:type="pct"/>
            <w:tcBorders>
              <w:top w:val="nil"/>
              <w:left w:val="nil"/>
              <w:bottom w:val="nil"/>
              <w:right w:val="nil"/>
            </w:tcBorders>
            <w:shd w:val="clear" w:color="auto" w:fill="auto"/>
            <w:noWrap/>
            <w:vAlign w:val="center"/>
            <w:hideMark/>
          </w:tcPr>
          <w:p w14:paraId="1C44F7C7" w14:textId="3C100ECD"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1CE251A1" w14:textId="67D747BB"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31625A24" w14:textId="292FE9B5"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183</w:t>
            </w:r>
            <w:r w:rsidRPr="002C3397">
              <w:rPr>
                <w:rFonts w:ascii="Arial" w:eastAsia="等线" w:hAnsi="Arial" w:cs="Arial"/>
                <w:noProof/>
                <w:color w:val="000000"/>
                <w:kern w:val="0"/>
                <w:szCs w:val="21"/>
              </w:rPr>
              <w:t>]</w:t>
            </w:r>
          </w:p>
        </w:tc>
      </w:tr>
      <w:tr w:rsidR="00916F45" w:rsidRPr="002C3397" w14:paraId="38FF77C4"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2DA3E512" w14:textId="7D975CAE"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ENSMUSG00000074037</w:t>
            </w:r>
          </w:p>
        </w:tc>
        <w:tc>
          <w:tcPr>
            <w:tcW w:w="916" w:type="pct"/>
            <w:gridSpan w:val="2"/>
            <w:tcBorders>
              <w:top w:val="nil"/>
              <w:left w:val="nil"/>
              <w:bottom w:val="nil"/>
              <w:right w:val="nil"/>
            </w:tcBorders>
            <w:shd w:val="clear" w:color="auto" w:fill="auto"/>
            <w:noWrap/>
            <w:vAlign w:val="center"/>
            <w:hideMark/>
          </w:tcPr>
          <w:p w14:paraId="0397BC8F" w14:textId="43CCD84A"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Mc1r</w:t>
            </w:r>
          </w:p>
        </w:tc>
        <w:tc>
          <w:tcPr>
            <w:tcW w:w="1169" w:type="pct"/>
            <w:tcBorders>
              <w:top w:val="nil"/>
              <w:left w:val="nil"/>
              <w:bottom w:val="nil"/>
              <w:right w:val="nil"/>
            </w:tcBorders>
            <w:shd w:val="clear" w:color="auto" w:fill="auto"/>
            <w:noWrap/>
            <w:vAlign w:val="center"/>
            <w:hideMark/>
          </w:tcPr>
          <w:p w14:paraId="6F296555" w14:textId="1FF370F1"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3.442 </w:t>
            </w:r>
          </w:p>
        </w:tc>
        <w:tc>
          <w:tcPr>
            <w:tcW w:w="500" w:type="pct"/>
            <w:tcBorders>
              <w:top w:val="nil"/>
              <w:left w:val="nil"/>
              <w:bottom w:val="nil"/>
              <w:right w:val="nil"/>
            </w:tcBorders>
            <w:shd w:val="clear" w:color="auto" w:fill="auto"/>
            <w:noWrap/>
            <w:vAlign w:val="center"/>
            <w:hideMark/>
          </w:tcPr>
          <w:p w14:paraId="22214E3D" w14:textId="1CCD8242"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72C34469" w14:textId="228AAFDF"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48247092" w14:textId="558AAE83"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184</w:t>
            </w:r>
            <w:r w:rsidRPr="002C3397">
              <w:rPr>
                <w:rFonts w:ascii="Arial" w:eastAsia="等线" w:hAnsi="Arial" w:cs="Arial"/>
                <w:noProof/>
                <w:color w:val="000000"/>
                <w:kern w:val="0"/>
                <w:szCs w:val="21"/>
              </w:rPr>
              <w:t>]</w:t>
            </w:r>
          </w:p>
        </w:tc>
      </w:tr>
      <w:tr w:rsidR="00916F45" w:rsidRPr="002C3397" w14:paraId="40E78FA3"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3BA2752B" w14:textId="6BAEFD6D"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ENSMUSG00000056671</w:t>
            </w:r>
          </w:p>
        </w:tc>
        <w:tc>
          <w:tcPr>
            <w:tcW w:w="916" w:type="pct"/>
            <w:gridSpan w:val="2"/>
            <w:tcBorders>
              <w:top w:val="nil"/>
              <w:left w:val="nil"/>
              <w:bottom w:val="nil"/>
              <w:right w:val="nil"/>
            </w:tcBorders>
            <w:shd w:val="clear" w:color="auto" w:fill="auto"/>
            <w:noWrap/>
            <w:vAlign w:val="center"/>
            <w:hideMark/>
          </w:tcPr>
          <w:p w14:paraId="6275B9BA" w14:textId="4D5D4A4A"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Prelid2</w:t>
            </w:r>
          </w:p>
        </w:tc>
        <w:tc>
          <w:tcPr>
            <w:tcW w:w="1169" w:type="pct"/>
            <w:tcBorders>
              <w:top w:val="nil"/>
              <w:left w:val="nil"/>
              <w:bottom w:val="nil"/>
              <w:right w:val="nil"/>
            </w:tcBorders>
            <w:shd w:val="clear" w:color="auto" w:fill="auto"/>
            <w:noWrap/>
            <w:vAlign w:val="center"/>
            <w:hideMark/>
          </w:tcPr>
          <w:p w14:paraId="5962FCDF" w14:textId="540878A1"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2.186 </w:t>
            </w:r>
          </w:p>
        </w:tc>
        <w:tc>
          <w:tcPr>
            <w:tcW w:w="500" w:type="pct"/>
            <w:tcBorders>
              <w:top w:val="nil"/>
              <w:left w:val="nil"/>
              <w:bottom w:val="nil"/>
              <w:right w:val="nil"/>
            </w:tcBorders>
            <w:shd w:val="clear" w:color="auto" w:fill="auto"/>
            <w:noWrap/>
            <w:vAlign w:val="center"/>
            <w:hideMark/>
          </w:tcPr>
          <w:p w14:paraId="458BCADB" w14:textId="387ACB55"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1EF21737" w14:textId="36B251FD"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487162C9" w14:textId="01780B93"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185</w:t>
            </w:r>
            <w:r w:rsidRPr="002C3397">
              <w:rPr>
                <w:rFonts w:ascii="Arial" w:eastAsia="等线" w:hAnsi="Arial" w:cs="Arial"/>
                <w:noProof/>
                <w:color w:val="000000"/>
                <w:kern w:val="0"/>
                <w:szCs w:val="21"/>
              </w:rPr>
              <w:t>]</w:t>
            </w:r>
          </w:p>
        </w:tc>
      </w:tr>
      <w:tr w:rsidR="00916F45" w:rsidRPr="002C3397" w14:paraId="3B9F2E59"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3E79277A" w14:textId="58715EE5"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ENSMUSG00000024793</w:t>
            </w:r>
          </w:p>
        </w:tc>
        <w:tc>
          <w:tcPr>
            <w:tcW w:w="916" w:type="pct"/>
            <w:gridSpan w:val="2"/>
            <w:tcBorders>
              <w:top w:val="nil"/>
              <w:left w:val="nil"/>
              <w:bottom w:val="nil"/>
              <w:right w:val="nil"/>
            </w:tcBorders>
            <w:shd w:val="clear" w:color="auto" w:fill="auto"/>
            <w:noWrap/>
            <w:vAlign w:val="center"/>
            <w:hideMark/>
          </w:tcPr>
          <w:p w14:paraId="48EC51A8" w14:textId="4342F753"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Tnfrsf25</w:t>
            </w:r>
          </w:p>
        </w:tc>
        <w:tc>
          <w:tcPr>
            <w:tcW w:w="1169" w:type="pct"/>
            <w:tcBorders>
              <w:top w:val="nil"/>
              <w:left w:val="nil"/>
              <w:bottom w:val="nil"/>
              <w:right w:val="nil"/>
            </w:tcBorders>
            <w:shd w:val="clear" w:color="auto" w:fill="auto"/>
            <w:noWrap/>
            <w:vAlign w:val="center"/>
            <w:hideMark/>
          </w:tcPr>
          <w:p w14:paraId="2D0567CF" w14:textId="3E32A9EB"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-2.497 </w:t>
            </w:r>
          </w:p>
        </w:tc>
        <w:tc>
          <w:tcPr>
            <w:tcW w:w="500" w:type="pct"/>
            <w:tcBorders>
              <w:top w:val="nil"/>
              <w:left w:val="nil"/>
              <w:bottom w:val="nil"/>
              <w:right w:val="nil"/>
            </w:tcBorders>
            <w:shd w:val="clear" w:color="auto" w:fill="auto"/>
            <w:noWrap/>
            <w:vAlign w:val="center"/>
            <w:hideMark/>
          </w:tcPr>
          <w:p w14:paraId="436C3881" w14:textId="719CC749"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29C09192" w14:textId="6C6CBABA"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5B9D464F" w14:textId="7FDB2264"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186</w:t>
            </w:r>
            <w:r w:rsidRPr="002C3397">
              <w:rPr>
                <w:rFonts w:ascii="Arial" w:eastAsia="等线" w:hAnsi="Arial" w:cs="Arial"/>
                <w:noProof/>
                <w:color w:val="000000"/>
                <w:kern w:val="0"/>
                <w:szCs w:val="21"/>
              </w:rPr>
              <w:t>]</w:t>
            </w:r>
          </w:p>
        </w:tc>
      </w:tr>
      <w:tr w:rsidR="00916F45" w:rsidRPr="002C3397" w14:paraId="18A21BB5"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64C1EA84" w14:textId="35BC76E3"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ENSMUSG00000009350</w:t>
            </w:r>
          </w:p>
        </w:tc>
        <w:tc>
          <w:tcPr>
            <w:tcW w:w="916" w:type="pct"/>
            <w:gridSpan w:val="2"/>
            <w:tcBorders>
              <w:top w:val="nil"/>
              <w:left w:val="nil"/>
              <w:bottom w:val="nil"/>
              <w:right w:val="nil"/>
            </w:tcBorders>
            <w:shd w:val="clear" w:color="auto" w:fill="auto"/>
            <w:noWrap/>
            <w:vAlign w:val="center"/>
            <w:hideMark/>
          </w:tcPr>
          <w:p w14:paraId="7E4EB027" w14:textId="4F466134"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Mpo</w:t>
            </w:r>
          </w:p>
        </w:tc>
        <w:tc>
          <w:tcPr>
            <w:tcW w:w="1169" w:type="pct"/>
            <w:tcBorders>
              <w:top w:val="nil"/>
              <w:left w:val="nil"/>
              <w:bottom w:val="nil"/>
              <w:right w:val="nil"/>
            </w:tcBorders>
            <w:shd w:val="clear" w:color="auto" w:fill="auto"/>
            <w:noWrap/>
            <w:vAlign w:val="center"/>
            <w:hideMark/>
          </w:tcPr>
          <w:p w14:paraId="2BC8BF15" w14:textId="16E7DD33"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4.619 </w:t>
            </w:r>
          </w:p>
        </w:tc>
        <w:tc>
          <w:tcPr>
            <w:tcW w:w="500" w:type="pct"/>
            <w:tcBorders>
              <w:top w:val="nil"/>
              <w:left w:val="nil"/>
              <w:bottom w:val="nil"/>
              <w:right w:val="nil"/>
            </w:tcBorders>
            <w:shd w:val="clear" w:color="auto" w:fill="auto"/>
            <w:noWrap/>
            <w:vAlign w:val="center"/>
            <w:hideMark/>
          </w:tcPr>
          <w:p w14:paraId="4F57464B" w14:textId="06D870F5"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623097E4" w14:textId="0C889132"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7D3FEE33" w14:textId="01EA7234"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187</w:t>
            </w:r>
            <w:r w:rsidRPr="002C3397">
              <w:rPr>
                <w:rFonts w:ascii="Arial" w:eastAsia="等线" w:hAnsi="Arial" w:cs="Arial"/>
                <w:noProof/>
                <w:color w:val="000000"/>
                <w:kern w:val="0"/>
                <w:szCs w:val="21"/>
              </w:rPr>
              <w:t>]</w:t>
            </w:r>
          </w:p>
        </w:tc>
      </w:tr>
      <w:tr w:rsidR="00916F45" w:rsidRPr="002C3397" w14:paraId="05C7DBC0"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1E0DA7ED" w14:textId="4A27A9D4"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ENSMUSG00000039521</w:t>
            </w:r>
          </w:p>
        </w:tc>
        <w:tc>
          <w:tcPr>
            <w:tcW w:w="916" w:type="pct"/>
            <w:gridSpan w:val="2"/>
            <w:tcBorders>
              <w:top w:val="nil"/>
              <w:left w:val="nil"/>
              <w:bottom w:val="nil"/>
              <w:right w:val="nil"/>
            </w:tcBorders>
            <w:shd w:val="clear" w:color="auto" w:fill="auto"/>
            <w:noWrap/>
            <w:vAlign w:val="center"/>
            <w:hideMark/>
          </w:tcPr>
          <w:p w14:paraId="0CEFF948" w14:textId="30A606E8"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Foxp3</w:t>
            </w:r>
          </w:p>
        </w:tc>
        <w:tc>
          <w:tcPr>
            <w:tcW w:w="1169" w:type="pct"/>
            <w:tcBorders>
              <w:top w:val="nil"/>
              <w:left w:val="nil"/>
              <w:bottom w:val="nil"/>
              <w:right w:val="nil"/>
            </w:tcBorders>
            <w:shd w:val="clear" w:color="auto" w:fill="auto"/>
            <w:noWrap/>
            <w:vAlign w:val="center"/>
            <w:hideMark/>
          </w:tcPr>
          <w:p w14:paraId="6D3AEBE3" w14:textId="48D1B302"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2.394 </w:t>
            </w:r>
          </w:p>
        </w:tc>
        <w:tc>
          <w:tcPr>
            <w:tcW w:w="500" w:type="pct"/>
            <w:tcBorders>
              <w:top w:val="nil"/>
              <w:left w:val="nil"/>
              <w:bottom w:val="nil"/>
              <w:right w:val="nil"/>
            </w:tcBorders>
            <w:shd w:val="clear" w:color="auto" w:fill="auto"/>
            <w:noWrap/>
            <w:vAlign w:val="center"/>
            <w:hideMark/>
          </w:tcPr>
          <w:p w14:paraId="08784E2B" w14:textId="6B3D7DA9"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0A5B6DEA" w14:textId="7F408162"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70945683" w14:textId="42DB1F44"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188</w:t>
            </w:r>
            <w:r w:rsidRPr="002C3397">
              <w:rPr>
                <w:rFonts w:ascii="Arial" w:eastAsia="等线" w:hAnsi="Arial" w:cs="Arial"/>
                <w:noProof/>
                <w:color w:val="000000"/>
                <w:kern w:val="0"/>
                <w:szCs w:val="21"/>
              </w:rPr>
              <w:t>]</w:t>
            </w:r>
          </w:p>
        </w:tc>
      </w:tr>
      <w:tr w:rsidR="00916F45" w:rsidRPr="002C3397" w14:paraId="0FAB745E"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5F46077A" w14:textId="5880E7B9"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ENSMUSG00000030324</w:t>
            </w:r>
          </w:p>
        </w:tc>
        <w:tc>
          <w:tcPr>
            <w:tcW w:w="916" w:type="pct"/>
            <w:gridSpan w:val="2"/>
            <w:tcBorders>
              <w:top w:val="nil"/>
              <w:left w:val="nil"/>
              <w:bottom w:val="nil"/>
              <w:right w:val="nil"/>
            </w:tcBorders>
            <w:shd w:val="clear" w:color="auto" w:fill="auto"/>
            <w:noWrap/>
            <w:vAlign w:val="center"/>
            <w:hideMark/>
          </w:tcPr>
          <w:p w14:paraId="1C99AC0A" w14:textId="7F72831F"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Rho</w:t>
            </w:r>
          </w:p>
        </w:tc>
        <w:tc>
          <w:tcPr>
            <w:tcW w:w="1169" w:type="pct"/>
            <w:tcBorders>
              <w:top w:val="nil"/>
              <w:left w:val="nil"/>
              <w:bottom w:val="nil"/>
              <w:right w:val="nil"/>
            </w:tcBorders>
            <w:shd w:val="clear" w:color="auto" w:fill="auto"/>
            <w:noWrap/>
            <w:vAlign w:val="center"/>
            <w:hideMark/>
          </w:tcPr>
          <w:p w14:paraId="4E69B181" w14:textId="69014340"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3.921 </w:t>
            </w:r>
          </w:p>
        </w:tc>
        <w:tc>
          <w:tcPr>
            <w:tcW w:w="500" w:type="pct"/>
            <w:tcBorders>
              <w:top w:val="nil"/>
              <w:left w:val="nil"/>
              <w:bottom w:val="nil"/>
              <w:right w:val="nil"/>
            </w:tcBorders>
            <w:shd w:val="clear" w:color="auto" w:fill="auto"/>
            <w:noWrap/>
            <w:vAlign w:val="center"/>
            <w:hideMark/>
          </w:tcPr>
          <w:p w14:paraId="47CB92B5" w14:textId="2A234A76"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67C7F25B" w14:textId="540ED2B9"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7CA98DA2" w14:textId="620173E0"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189</w:t>
            </w:r>
            <w:r w:rsidRPr="002C3397">
              <w:rPr>
                <w:rFonts w:ascii="Arial" w:eastAsia="等线" w:hAnsi="Arial" w:cs="Arial"/>
                <w:noProof/>
                <w:color w:val="000000"/>
                <w:kern w:val="0"/>
                <w:szCs w:val="21"/>
              </w:rPr>
              <w:t>]</w:t>
            </w:r>
          </w:p>
        </w:tc>
      </w:tr>
      <w:tr w:rsidR="00916F45" w:rsidRPr="002C3397" w14:paraId="120D60B5"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3F9BFF02" w14:textId="279D3B47" w:rsidR="00916F45" w:rsidRPr="002C3397" w:rsidRDefault="00F07C9B" w:rsidP="00916F45">
            <w:pPr>
              <w:widowControl/>
              <w:jc w:val="left"/>
              <w:rPr>
                <w:rFonts w:ascii="Arial" w:eastAsia="等线" w:hAnsi="Arial" w:cs="Arial"/>
                <w:color w:val="000000"/>
                <w:szCs w:val="21"/>
              </w:rPr>
            </w:pPr>
            <w:r w:rsidRPr="002C3397">
              <w:rPr>
                <w:rFonts w:ascii="Arial" w:eastAsia="等线" w:hAnsi="Arial" w:cs="Arial"/>
                <w:color w:val="000000"/>
                <w:szCs w:val="21"/>
              </w:rPr>
              <w:t>ENSMUSG00000030223</w:t>
            </w:r>
          </w:p>
        </w:tc>
        <w:tc>
          <w:tcPr>
            <w:tcW w:w="916" w:type="pct"/>
            <w:gridSpan w:val="2"/>
            <w:tcBorders>
              <w:top w:val="nil"/>
              <w:left w:val="nil"/>
              <w:bottom w:val="nil"/>
              <w:right w:val="nil"/>
            </w:tcBorders>
            <w:shd w:val="clear" w:color="auto" w:fill="auto"/>
            <w:noWrap/>
            <w:vAlign w:val="center"/>
            <w:hideMark/>
          </w:tcPr>
          <w:p w14:paraId="5E92C6CB" w14:textId="14A16B3B" w:rsidR="00916F45" w:rsidRPr="002C3397" w:rsidRDefault="00F07C9B" w:rsidP="00916F45">
            <w:pPr>
              <w:widowControl/>
              <w:jc w:val="center"/>
              <w:rPr>
                <w:rFonts w:ascii="Arial" w:eastAsia="等线" w:hAnsi="Arial" w:cs="Arial"/>
                <w:i/>
                <w:iCs/>
                <w:color w:val="000000"/>
                <w:kern w:val="0"/>
                <w:szCs w:val="21"/>
                <w:highlight w:val="yellow"/>
              </w:rPr>
            </w:pPr>
            <w:r w:rsidRPr="002C3397">
              <w:rPr>
                <w:rFonts w:ascii="Arial" w:eastAsia="等线" w:hAnsi="Arial" w:cs="Arial"/>
                <w:i/>
                <w:iCs/>
                <w:color w:val="000000"/>
                <w:szCs w:val="21"/>
              </w:rPr>
              <w:t>Ptpro</w:t>
            </w:r>
          </w:p>
        </w:tc>
        <w:tc>
          <w:tcPr>
            <w:tcW w:w="1169" w:type="pct"/>
            <w:tcBorders>
              <w:top w:val="nil"/>
              <w:left w:val="nil"/>
              <w:bottom w:val="nil"/>
              <w:right w:val="nil"/>
            </w:tcBorders>
            <w:shd w:val="clear" w:color="auto" w:fill="auto"/>
            <w:noWrap/>
            <w:vAlign w:val="center"/>
            <w:hideMark/>
          </w:tcPr>
          <w:p w14:paraId="3FE13622" w14:textId="7B99A1E6" w:rsidR="00916F45" w:rsidRPr="002C3397" w:rsidRDefault="00F07C9B"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-2.456</w:t>
            </w:r>
          </w:p>
        </w:tc>
        <w:tc>
          <w:tcPr>
            <w:tcW w:w="500" w:type="pct"/>
            <w:tcBorders>
              <w:top w:val="nil"/>
              <w:left w:val="nil"/>
              <w:bottom w:val="nil"/>
              <w:right w:val="nil"/>
            </w:tcBorders>
            <w:shd w:val="clear" w:color="auto" w:fill="auto"/>
            <w:noWrap/>
            <w:vAlign w:val="center"/>
            <w:hideMark/>
          </w:tcPr>
          <w:p w14:paraId="3DE68EC4" w14:textId="13A99C02"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50FFDBEE" w14:textId="6B4CFFBB"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02A5146E" w14:textId="468B43EA"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190</w:t>
            </w:r>
            <w:r w:rsidRPr="002C3397">
              <w:rPr>
                <w:rFonts w:ascii="Arial" w:eastAsia="等线" w:hAnsi="Arial" w:cs="Arial"/>
                <w:noProof/>
                <w:color w:val="000000"/>
                <w:kern w:val="0"/>
                <w:szCs w:val="21"/>
              </w:rPr>
              <w:t>]</w:t>
            </w:r>
          </w:p>
        </w:tc>
      </w:tr>
      <w:tr w:rsidR="00916F45" w:rsidRPr="002C3397" w14:paraId="28FD9319"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2643C1B2" w14:textId="64F11F5C"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ENSMUSG00000028427</w:t>
            </w:r>
          </w:p>
        </w:tc>
        <w:tc>
          <w:tcPr>
            <w:tcW w:w="916" w:type="pct"/>
            <w:gridSpan w:val="2"/>
            <w:tcBorders>
              <w:top w:val="nil"/>
              <w:left w:val="nil"/>
              <w:bottom w:val="nil"/>
              <w:right w:val="nil"/>
            </w:tcBorders>
            <w:shd w:val="clear" w:color="auto" w:fill="auto"/>
            <w:noWrap/>
            <w:vAlign w:val="center"/>
            <w:hideMark/>
          </w:tcPr>
          <w:p w14:paraId="106A8E27" w14:textId="53C4C97A"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Aqp7</w:t>
            </w:r>
          </w:p>
        </w:tc>
        <w:tc>
          <w:tcPr>
            <w:tcW w:w="1169" w:type="pct"/>
            <w:tcBorders>
              <w:top w:val="nil"/>
              <w:left w:val="nil"/>
              <w:bottom w:val="nil"/>
              <w:right w:val="nil"/>
            </w:tcBorders>
            <w:shd w:val="clear" w:color="auto" w:fill="auto"/>
            <w:noWrap/>
            <w:vAlign w:val="center"/>
            <w:hideMark/>
          </w:tcPr>
          <w:p w14:paraId="62DC2264" w14:textId="1B8B6817"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2.403 </w:t>
            </w:r>
          </w:p>
        </w:tc>
        <w:tc>
          <w:tcPr>
            <w:tcW w:w="500" w:type="pct"/>
            <w:tcBorders>
              <w:top w:val="nil"/>
              <w:left w:val="nil"/>
              <w:bottom w:val="nil"/>
              <w:right w:val="nil"/>
            </w:tcBorders>
            <w:shd w:val="clear" w:color="auto" w:fill="auto"/>
            <w:noWrap/>
            <w:vAlign w:val="center"/>
            <w:hideMark/>
          </w:tcPr>
          <w:p w14:paraId="32204752" w14:textId="7E84BF58"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1B5CEB55" w14:textId="2C5BCE88"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56BCEDD9" w14:textId="60AD3598"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191</w:t>
            </w:r>
            <w:r w:rsidRPr="002C3397">
              <w:rPr>
                <w:rFonts w:ascii="Arial" w:eastAsia="等线" w:hAnsi="Arial" w:cs="Arial"/>
                <w:noProof/>
                <w:color w:val="000000"/>
                <w:kern w:val="0"/>
                <w:szCs w:val="21"/>
              </w:rPr>
              <w:t>]</w:t>
            </w:r>
          </w:p>
        </w:tc>
      </w:tr>
      <w:tr w:rsidR="00916F45" w:rsidRPr="002C3397" w14:paraId="27B0AC98"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2300E3D3" w14:textId="30F31C9F"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ENSMUSG00000053469</w:t>
            </w:r>
          </w:p>
        </w:tc>
        <w:tc>
          <w:tcPr>
            <w:tcW w:w="916" w:type="pct"/>
            <w:gridSpan w:val="2"/>
            <w:tcBorders>
              <w:top w:val="nil"/>
              <w:left w:val="nil"/>
              <w:bottom w:val="nil"/>
              <w:right w:val="nil"/>
            </w:tcBorders>
            <w:shd w:val="clear" w:color="auto" w:fill="auto"/>
            <w:noWrap/>
            <w:vAlign w:val="center"/>
            <w:hideMark/>
          </w:tcPr>
          <w:p w14:paraId="7430E2E7" w14:textId="36C3255A"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Tg</w:t>
            </w:r>
          </w:p>
        </w:tc>
        <w:tc>
          <w:tcPr>
            <w:tcW w:w="1169" w:type="pct"/>
            <w:tcBorders>
              <w:top w:val="nil"/>
              <w:left w:val="nil"/>
              <w:bottom w:val="nil"/>
              <w:right w:val="nil"/>
            </w:tcBorders>
            <w:shd w:val="clear" w:color="auto" w:fill="auto"/>
            <w:noWrap/>
            <w:vAlign w:val="center"/>
            <w:hideMark/>
          </w:tcPr>
          <w:p w14:paraId="127D9C2D" w14:textId="0875AAA7"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2.135 </w:t>
            </w:r>
          </w:p>
        </w:tc>
        <w:tc>
          <w:tcPr>
            <w:tcW w:w="500" w:type="pct"/>
            <w:tcBorders>
              <w:top w:val="nil"/>
              <w:left w:val="nil"/>
              <w:bottom w:val="nil"/>
              <w:right w:val="nil"/>
            </w:tcBorders>
            <w:shd w:val="clear" w:color="auto" w:fill="auto"/>
            <w:noWrap/>
            <w:vAlign w:val="center"/>
            <w:hideMark/>
          </w:tcPr>
          <w:p w14:paraId="77DD1F52" w14:textId="6B21DF48"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790776BC" w14:textId="79F35FCE"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2E630482" w14:textId="0DE13149"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192</w:t>
            </w:r>
            <w:r w:rsidRPr="002C3397">
              <w:rPr>
                <w:rFonts w:ascii="Arial" w:eastAsia="等线" w:hAnsi="Arial" w:cs="Arial"/>
                <w:noProof/>
                <w:color w:val="000000"/>
                <w:kern w:val="0"/>
                <w:szCs w:val="21"/>
              </w:rPr>
              <w:t>]</w:t>
            </w:r>
          </w:p>
        </w:tc>
      </w:tr>
      <w:tr w:rsidR="00916F45" w:rsidRPr="002C3397" w14:paraId="7FB83C18"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3FDA13FE" w14:textId="4A62560A"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ENSMUSG00000061878</w:t>
            </w:r>
          </w:p>
        </w:tc>
        <w:tc>
          <w:tcPr>
            <w:tcW w:w="916" w:type="pct"/>
            <w:gridSpan w:val="2"/>
            <w:tcBorders>
              <w:top w:val="nil"/>
              <w:left w:val="nil"/>
              <w:bottom w:val="nil"/>
              <w:right w:val="nil"/>
            </w:tcBorders>
            <w:shd w:val="clear" w:color="auto" w:fill="auto"/>
            <w:noWrap/>
            <w:vAlign w:val="center"/>
            <w:hideMark/>
          </w:tcPr>
          <w:p w14:paraId="2C3DC9C5" w14:textId="3AB1F4F7"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Sphk1</w:t>
            </w:r>
          </w:p>
        </w:tc>
        <w:tc>
          <w:tcPr>
            <w:tcW w:w="1169" w:type="pct"/>
            <w:tcBorders>
              <w:top w:val="nil"/>
              <w:left w:val="nil"/>
              <w:bottom w:val="nil"/>
              <w:right w:val="nil"/>
            </w:tcBorders>
            <w:shd w:val="clear" w:color="auto" w:fill="auto"/>
            <w:noWrap/>
            <w:vAlign w:val="center"/>
            <w:hideMark/>
          </w:tcPr>
          <w:p w14:paraId="597263E1" w14:textId="675D5F07"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2.802 </w:t>
            </w:r>
          </w:p>
        </w:tc>
        <w:tc>
          <w:tcPr>
            <w:tcW w:w="500" w:type="pct"/>
            <w:tcBorders>
              <w:top w:val="nil"/>
              <w:left w:val="nil"/>
              <w:bottom w:val="nil"/>
              <w:right w:val="nil"/>
            </w:tcBorders>
            <w:shd w:val="clear" w:color="auto" w:fill="auto"/>
            <w:noWrap/>
            <w:vAlign w:val="center"/>
            <w:hideMark/>
          </w:tcPr>
          <w:p w14:paraId="146E9C5D" w14:textId="787F3D9B"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7271454B" w14:textId="65A1D819"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7E7C4035" w14:textId="3BD72BBC"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193</w:t>
            </w:r>
            <w:r w:rsidRPr="002C3397">
              <w:rPr>
                <w:rFonts w:ascii="Arial" w:eastAsia="等线" w:hAnsi="Arial" w:cs="Arial"/>
                <w:noProof/>
                <w:color w:val="000000"/>
                <w:kern w:val="0"/>
                <w:szCs w:val="21"/>
              </w:rPr>
              <w:t>]</w:t>
            </w:r>
          </w:p>
        </w:tc>
      </w:tr>
      <w:tr w:rsidR="00916F45" w:rsidRPr="002C3397" w14:paraId="08FC509D"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59E654E3" w14:textId="5A17FF76"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ENSMUSG00000079164</w:t>
            </w:r>
          </w:p>
        </w:tc>
        <w:tc>
          <w:tcPr>
            <w:tcW w:w="916" w:type="pct"/>
            <w:gridSpan w:val="2"/>
            <w:tcBorders>
              <w:top w:val="nil"/>
              <w:left w:val="nil"/>
              <w:bottom w:val="nil"/>
              <w:right w:val="nil"/>
            </w:tcBorders>
            <w:shd w:val="clear" w:color="auto" w:fill="auto"/>
            <w:noWrap/>
            <w:vAlign w:val="center"/>
            <w:hideMark/>
          </w:tcPr>
          <w:p w14:paraId="74535F27" w14:textId="3527524B"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Tlr5</w:t>
            </w:r>
          </w:p>
        </w:tc>
        <w:tc>
          <w:tcPr>
            <w:tcW w:w="1169" w:type="pct"/>
            <w:tcBorders>
              <w:top w:val="nil"/>
              <w:left w:val="nil"/>
              <w:bottom w:val="nil"/>
              <w:right w:val="nil"/>
            </w:tcBorders>
            <w:shd w:val="clear" w:color="auto" w:fill="auto"/>
            <w:noWrap/>
            <w:vAlign w:val="center"/>
            <w:hideMark/>
          </w:tcPr>
          <w:p w14:paraId="3D766171" w14:textId="77677D60"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-6.389 </w:t>
            </w:r>
          </w:p>
        </w:tc>
        <w:tc>
          <w:tcPr>
            <w:tcW w:w="500" w:type="pct"/>
            <w:tcBorders>
              <w:top w:val="nil"/>
              <w:left w:val="nil"/>
              <w:bottom w:val="nil"/>
              <w:right w:val="nil"/>
            </w:tcBorders>
            <w:shd w:val="clear" w:color="auto" w:fill="auto"/>
            <w:noWrap/>
            <w:vAlign w:val="center"/>
            <w:hideMark/>
          </w:tcPr>
          <w:p w14:paraId="0184F2B6" w14:textId="70A63CC5"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645FEE9B" w14:textId="37A5017D"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4F519CE1" w14:textId="1BD481A6"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194</w:t>
            </w:r>
            <w:r w:rsidRPr="002C3397">
              <w:rPr>
                <w:rFonts w:ascii="Arial" w:eastAsia="等线" w:hAnsi="Arial" w:cs="Arial"/>
                <w:noProof/>
                <w:color w:val="000000"/>
                <w:kern w:val="0"/>
                <w:szCs w:val="21"/>
              </w:rPr>
              <w:t>]</w:t>
            </w:r>
          </w:p>
        </w:tc>
      </w:tr>
      <w:tr w:rsidR="00916F45" w:rsidRPr="002C3397" w14:paraId="652F7903"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52AD4796" w14:textId="6438129B"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ENSMUSG00000102037</w:t>
            </w:r>
          </w:p>
        </w:tc>
        <w:tc>
          <w:tcPr>
            <w:tcW w:w="916" w:type="pct"/>
            <w:gridSpan w:val="2"/>
            <w:tcBorders>
              <w:top w:val="nil"/>
              <w:left w:val="nil"/>
              <w:bottom w:val="nil"/>
              <w:right w:val="nil"/>
            </w:tcBorders>
            <w:shd w:val="clear" w:color="auto" w:fill="auto"/>
            <w:noWrap/>
            <w:vAlign w:val="center"/>
            <w:hideMark/>
          </w:tcPr>
          <w:p w14:paraId="5CA03A4E" w14:textId="5739352C"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Bcl2a1a</w:t>
            </w:r>
          </w:p>
        </w:tc>
        <w:tc>
          <w:tcPr>
            <w:tcW w:w="1169" w:type="pct"/>
            <w:tcBorders>
              <w:top w:val="nil"/>
              <w:left w:val="nil"/>
              <w:bottom w:val="nil"/>
              <w:right w:val="nil"/>
            </w:tcBorders>
            <w:shd w:val="clear" w:color="auto" w:fill="auto"/>
            <w:noWrap/>
            <w:vAlign w:val="center"/>
            <w:hideMark/>
          </w:tcPr>
          <w:p w14:paraId="09E9A2FF" w14:textId="17C3322E"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-2.348 </w:t>
            </w:r>
          </w:p>
        </w:tc>
        <w:tc>
          <w:tcPr>
            <w:tcW w:w="500" w:type="pct"/>
            <w:tcBorders>
              <w:top w:val="nil"/>
              <w:left w:val="nil"/>
              <w:bottom w:val="nil"/>
              <w:right w:val="nil"/>
            </w:tcBorders>
            <w:shd w:val="clear" w:color="auto" w:fill="auto"/>
            <w:noWrap/>
            <w:vAlign w:val="center"/>
            <w:hideMark/>
          </w:tcPr>
          <w:p w14:paraId="631ED040" w14:textId="6D334E7E"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30280942" w14:textId="002DED9B"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0AF7F2EF" w14:textId="468CA8DF"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195</w:t>
            </w:r>
            <w:r w:rsidRPr="002C3397">
              <w:rPr>
                <w:rFonts w:ascii="Arial" w:eastAsia="等线" w:hAnsi="Arial" w:cs="Arial"/>
                <w:noProof/>
                <w:color w:val="000000"/>
                <w:kern w:val="0"/>
                <w:szCs w:val="21"/>
              </w:rPr>
              <w:t>]</w:t>
            </w:r>
          </w:p>
        </w:tc>
      </w:tr>
      <w:tr w:rsidR="00916F45" w:rsidRPr="002C3397" w14:paraId="331F94BA"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69425F26" w14:textId="294357A8"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ENSMUSG00000031766</w:t>
            </w:r>
          </w:p>
        </w:tc>
        <w:tc>
          <w:tcPr>
            <w:tcW w:w="916" w:type="pct"/>
            <w:gridSpan w:val="2"/>
            <w:tcBorders>
              <w:top w:val="nil"/>
              <w:left w:val="nil"/>
              <w:bottom w:val="nil"/>
              <w:right w:val="nil"/>
            </w:tcBorders>
            <w:shd w:val="clear" w:color="auto" w:fill="auto"/>
            <w:noWrap/>
            <w:vAlign w:val="center"/>
            <w:hideMark/>
          </w:tcPr>
          <w:p w14:paraId="324926B2" w14:textId="1DCCB56F"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Slc12a3</w:t>
            </w:r>
          </w:p>
        </w:tc>
        <w:tc>
          <w:tcPr>
            <w:tcW w:w="1169" w:type="pct"/>
            <w:tcBorders>
              <w:top w:val="nil"/>
              <w:left w:val="nil"/>
              <w:bottom w:val="nil"/>
              <w:right w:val="nil"/>
            </w:tcBorders>
            <w:shd w:val="clear" w:color="auto" w:fill="auto"/>
            <w:noWrap/>
            <w:vAlign w:val="center"/>
            <w:hideMark/>
          </w:tcPr>
          <w:p w14:paraId="3B5E581A" w14:textId="6558DF47"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4.223 </w:t>
            </w:r>
          </w:p>
        </w:tc>
        <w:tc>
          <w:tcPr>
            <w:tcW w:w="500" w:type="pct"/>
            <w:tcBorders>
              <w:top w:val="nil"/>
              <w:left w:val="nil"/>
              <w:bottom w:val="nil"/>
              <w:right w:val="nil"/>
            </w:tcBorders>
            <w:shd w:val="clear" w:color="auto" w:fill="auto"/>
            <w:noWrap/>
            <w:vAlign w:val="center"/>
            <w:hideMark/>
          </w:tcPr>
          <w:p w14:paraId="2D66A454" w14:textId="7FE4D5AD"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55BAFDE9" w14:textId="0425334E"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01ABB3DB" w14:textId="1092B040"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196</w:t>
            </w:r>
            <w:r w:rsidRPr="002C3397">
              <w:rPr>
                <w:rFonts w:ascii="Arial" w:eastAsia="等线" w:hAnsi="Arial" w:cs="Arial"/>
                <w:noProof/>
                <w:color w:val="000000"/>
                <w:kern w:val="0"/>
                <w:szCs w:val="21"/>
              </w:rPr>
              <w:t>]</w:t>
            </w:r>
          </w:p>
        </w:tc>
      </w:tr>
      <w:tr w:rsidR="00916F45" w:rsidRPr="002C3397" w14:paraId="12FA0881"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5D9977F1" w14:textId="55682CD0"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ENSMUSG00000032083</w:t>
            </w:r>
          </w:p>
        </w:tc>
        <w:tc>
          <w:tcPr>
            <w:tcW w:w="916" w:type="pct"/>
            <w:gridSpan w:val="2"/>
            <w:tcBorders>
              <w:top w:val="nil"/>
              <w:left w:val="nil"/>
              <w:bottom w:val="nil"/>
              <w:right w:val="nil"/>
            </w:tcBorders>
            <w:shd w:val="clear" w:color="auto" w:fill="auto"/>
            <w:noWrap/>
            <w:vAlign w:val="center"/>
            <w:hideMark/>
          </w:tcPr>
          <w:p w14:paraId="639B3742" w14:textId="4FA86C5F"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Apoa1</w:t>
            </w:r>
          </w:p>
        </w:tc>
        <w:tc>
          <w:tcPr>
            <w:tcW w:w="1169" w:type="pct"/>
            <w:tcBorders>
              <w:top w:val="nil"/>
              <w:left w:val="nil"/>
              <w:bottom w:val="nil"/>
              <w:right w:val="nil"/>
            </w:tcBorders>
            <w:shd w:val="clear" w:color="auto" w:fill="auto"/>
            <w:noWrap/>
            <w:vAlign w:val="center"/>
            <w:hideMark/>
          </w:tcPr>
          <w:p w14:paraId="54A3CF98" w14:textId="71BDA663"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3.381 </w:t>
            </w:r>
          </w:p>
        </w:tc>
        <w:tc>
          <w:tcPr>
            <w:tcW w:w="500" w:type="pct"/>
            <w:tcBorders>
              <w:top w:val="nil"/>
              <w:left w:val="nil"/>
              <w:bottom w:val="nil"/>
              <w:right w:val="nil"/>
            </w:tcBorders>
            <w:shd w:val="clear" w:color="auto" w:fill="auto"/>
            <w:noWrap/>
            <w:vAlign w:val="center"/>
            <w:hideMark/>
          </w:tcPr>
          <w:p w14:paraId="2B5FD449" w14:textId="41BCB38B"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165FB4BC" w14:textId="6FBE9E51"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tcPr>
          <w:p w14:paraId="70A55D52" w14:textId="7AD6FE48"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70</w:t>
            </w:r>
            <w:r w:rsidRPr="002C3397">
              <w:rPr>
                <w:rFonts w:ascii="Arial" w:eastAsia="等线" w:hAnsi="Arial" w:cs="Arial"/>
                <w:noProof/>
                <w:color w:val="000000"/>
                <w:kern w:val="0"/>
                <w:szCs w:val="21"/>
              </w:rPr>
              <w:t xml:space="preserve">, </w:t>
            </w:r>
            <w:r w:rsidR="00F05D34" w:rsidRPr="002C3397">
              <w:rPr>
                <w:rFonts w:ascii="Arial" w:eastAsia="等线" w:hAnsi="Arial" w:cs="Arial"/>
                <w:noProof/>
                <w:color w:val="000000"/>
                <w:kern w:val="0"/>
                <w:szCs w:val="21"/>
              </w:rPr>
              <w:t>97</w:t>
            </w:r>
            <w:r w:rsidRPr="002C3397">
              <w:rPr>
                <w:rFonts w:ascii="Arial" w:eastAsia="等线" w:hAnsi="Arial" w:cs="Arial"/>
                <w:noProof/>
                <w:color w:val="000000"/>
                <w:kern w:val="0"/>
                <w:szCs w:val="21"/>
              </w:rPr>
              <w:t>]</w:t>
            </w:r>
          </w:p>
        </w:tc>
      </w:tr>
      <w:tr w:rsidR="00916F45" w:rsidRPr="002C3397" w14:paraId="2FD24D2A"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1D24FE21" w14:textId="07A0790D"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ENSMUSG00000027398</w:t>
            </w:r>
          </w:p>
        </w:tc>
        <w:tc>
          <w:tcPr>
            <w:tcW w:w="916" w:type="pct"/>
            <w:gridSpan w:val="2"/>
            <w:tcBorders>
              <w:top w:val="nil"/>
              <w:left w:val="nil"/>
              <w:bottom w:val="nil"/>
              <w:right w:val="nil"/>
            </w:tcBorders>
            <w:shd w:val="clear" w:color="auto" w:fill="auto"/>
            <w:noWrap/>
            <w:vAlign w:val="center"/>
            <w:hideMark/>
          </w:tcPr>
          <w:p w14:paraId="2F35F37C" w14:textId="57819AAB"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Il1b</w:t>
            </w:r>
          </w:p>
        </w:tc>
        <w:tc>
          <w:tcPr>
            <w:tcW w:w="1169" w:type="pct"/>
            <w:tcBorders>
              <w:top w:val="nil"/>
              <w:left w:val="nil"/>
              <w:bottom w:val="nil"/>
              <w:right w:val="nil"/>
            </w:tcBorders>
            <w:shd w:val="clear" w:color="auto" w:fill="auto"/>
            <w:noWrap/>
            <w:vAlign w:val="center"/>
            <w:hideMark/>
          </w:tcPr>
          <w:p w14:paraId="43CA9811" w14:textId="768D19EF"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-2.520 </w:t>
            </w:r>
          </w:p>
        </w:tc>
        <w:tc>
          <w:tcPr>
            <w:tcW w:w="500" w:type="pct"/>
            <w:tcBorders>
              <w:top w:val="nil"/>
              <w:left w:val="nil"/>
              <w:bottom w:val="nil"/>
              <w:right w:val="nil"/>
            </w:tcBorders>
            <w:shd w:val="clear" w:color="auto" w:fill="auto"/>
            <w:noWrap/>
            <w:vAlign w:val="center"/>
            <w:hideMark/>
          </w:tcPr>
          <w:p w14:paraId="4E388A9C" w14:textId="214FB4D4"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6A2A529E" w14:textId="610DEE3E"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74B07054" w14:textId="2EE21C81"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97</w:t>
            </w:r>
            <w:r w:rsidRPr="002C3397">
              <w:rPr>
                <w:rFonts w:ascii="Arial" w:eastAsia="等线" w:hAnsi="Arial" w:cs="Arial"/>
                <w:noProof/>
                <w:color w:val="000000"/>
                <w:kern w:val="0"/>
                <w:szCs w:val="21"/>
              </w:rPr>
              <w:t xml:space="preserve">, </w:t>
            </w:r>
            <w:r w:rsidR="00F05D34" w:rsidRPr="002C3397">
              <w:rPr>
                <w:rFonts w:ascii="Arial" w:eastAsia="等线" w:hAnsi="Arial" w:cs="Arial"/>
                <w:noProof/>
                <w:color w:val="000000"/>
                <w:kern w:val="0"/>
                <w:szCs w:val="21"/>
              </w:rPr>
              <w:t>197</w:t>
            </w:r>
            <w:r w:rsidRPr="002C3397">
              <w:rPr>
                <w:rFonts w:ascii="Arial" w:eastAsia="等线" w:hAnsi="Arial" w:cs="Arial"/>
                <w:noProof/>
                <w:color w:val="000000"/>
                <w:kern w:val="0"/>
                <w:szCs w:val="21"/>
              </w:rPr>
              <w:t>]</w:t>
            </w:r>
          </w:p>
        </w:tc>
      </w:tr>
      <w:tr w:rsidR="00916F45" w:rsidRPr="002C3397" w14:paraId="3269A260"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31E70778" w14:textId="4E2BA507"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ENSMUSG00000025754</w:t>
            </w:r>
          </w:p>
        </w:tc>
        <w:tc>
          <w:tcPr>
            <w:tcW w:w="916" w:type="pct"/>
            <w:gridSpan w:val="2"/>
            <w:tcBorders>
              <w:top w:val="nil"/>
              <w:left w:val="nil"/>
              <w:bottom w:val="nil"/>
              <w:right w:val="nil"/>
            </w:tcBorders>
            <w:shd w:val="clear" w:color="auto" w:fill="auto"/>
            <w:noWrap/>
            <w:vAlign w:val="center"/>
            <w:hideMark/>
          </w:tcPr>
          <w:p w14:paraId="07165DD0" w14:textId="35D44015"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Agbl1</w:t>
            </w:r>
          </w:p>
        </w:tc>
        <w:tc>
          <w:tcPr>
            <w:tcW w:w="1169" w:type="pct"/>
            <w:tcBorders>
              <w:top w:val="nil"/>
              <w:left w:val="nil"/>
              <w:bottom w:val="nil"/>
              <w:right w:val="nil"/>
            </w:tcBorders>
            <w:shd w:val="clear" w:color="auto" w:fill="auto"/>
            <w:noWrap/>
            <w:vAlign w:val="center"/>
            <w:hideMark/>
          </w:tcPr>
          <w:p w14:paraId="0019B887" w14:textId="04364CB9"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-6.047 </w:t>
            </w:r>
          </w:p>
        </w:tc>
        <w:tc>
          <w:tcPr>
            <w:tcW w:w="500" w:type="pct"/>
            <w:tcBorders>
              <w:top w:val="nil"/>
              <w:left w:val="nil"/>
              <w:bottom w:val="nil"/>
              <w:right w:val="nil"/>
            </w:tcBorders>
            <w:shd w:val="clear" w:color="auto" w:fill="auto"/>
            <w:noWrap/>
            <w:vAlign w:val="center"/>
            <w:hideMark/>
          </w:tcPr>
          <w:p w14:paraId="75C8BCDA" w14:textId="0F6E4C57"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3101DEAD" w14:textId="043057AF"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2FC84E1E" w14:textId="40EAA279"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198</w:t>
            </w:r>
            <w:r w:rsidRPr="002C3397">
              <w:rPr>
                <w:rFonts w:ascii="Arial" w:eastAsia="等线" w:hAnsi="Arial" w:cs="Arial"/>
                <w:noProof/>
                <w:color w:val="000000"/>
                <w:kern w:val="0"/>
                <w:szCs w:val="21"/>
              </w:rPr>
              <w:t>]</w:t>
            </w:r>
          </w:p>
        </w:tc>
      </w:tr>
      <w:tr w:rsidR="00916F45" w:rsidRPr="002C3397" w14:paraId="5F3F718A"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19870FAC" w14:textId="2519CF2B"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ENSMUSG00000039193</w:t>
            </w:r>
          </w:p>
        </w:tc>
        <w:tc>
          <w:tcPr>
            <w:tcW w:w="916" w:type="pct"/>
            <w:gridSpan w:val="2"/>
            <w:tcBorders>
              <w:top w:val="nil"/>
              <w:left w:val="nil"/>
              <w:bottom w:val="nil"/>
              <w:right w:val="nil"/>
            </w:tcBorders>
            <w:shd w:val="clear" w:color="auto" w:fill="auto"/>
            <w:noWrap/>
            <w:vAlign w:val="center"/>
            <w:hideMark/>
          </w:tcPr>
          <w:p w14:paraId="6D71084E" w14:textId="6CAFD9AD"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Nlrc4</w:t>
            </w:r>
          </w:p>
        </w:tc>
        <w:tc>
          <w:tcPr>
            <w:tcW w:w="1169" w:type="pct"/>
            <w:tcBorders>
              <w:top w:val="nil"/>
              <w:left w:val="nil"/>
              <w:bottom w:val="nil"/>
              <w:right w:val="nil"/>
            </w:tcBorders>
            <w:shd w:val="clear" w:color="auto" w:fill="auto"/>
            <w:noWrap/>
            <w:vAlign w:val="center"/>
            <w:hideMark/>
          </w:tcPr>
          <w:p w14:paraId="24589BD6" w14:textId="4F0085F8"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-2.291 </w:t>
            </w:r>
          </w:p>
        </w:tc>
        <w:tc>
          <w:tcPr>
            <w:tcW w:w="500" w:type="pct"/>
            <w:tcBorders>
              <w:top w:val="nil"/>
              <w:left w:val="nil"/>
              <w:bottom w:val="nil"/>
              <w:right w:val="nil"/>
            </w:tcBorders>
            <w:shd w:val="clear" w:color="auto" w:fill="auto"/>
            <w:noWrap/>
            <w:vAlign w:val="center"/>
            <w:hideMark/>
          </w:tcPr>
          <w:p w14:paraId="765F3230" w14:textId="0FB46BFD"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3D154649" w14:textId="5C42D5D5"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74363941" w14:textId="18BE7C67"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199</w:t>
            </w:r>
            <w:r w:rsidRPr="002C3397">
              <w:rPr>
                <w:rFonts w:ascii="Arial" w:eastAsia="等线" w:hAnsi="Arial" w:cs="Arial"/>
                <w:noProof/>
                <w:color w:val="000000"/>
                <w:kern w:val="0"/>
                <w:szCs w:val="21"/>
              </w:rPr>
              <w:t>]</w:t>
            </w:r>
          </w:p>
        </w:tc>
      </w:tr>
      <w:tr w:rsidR="00916F45" w:rsidRPr="002C3397" w14:paraId="1A321C52"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1FF3AFF3" w14:textId="56FFAE16"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ENSMUSG00000030895</w:t>
            </w:r>
          </w:p>
        </w:tc>
        <w:tc>
          <w:tcPr>
            <w:tcW w:w="916" w:type="pct"/>
            <w:gridSpan w:val="2"/>
            <w:tcBorders>
              <w:top w:val="nil"/>
              <w:left w:val="nil"/>
              <w:bottom w:val="nil"/>
              <w:right w:val="nil"/>
            </w:tcBorders>
            <w:shd w:val="clear" w:color="auto" w:fill="auto"/>
            <w:noWrap/>
            <w:vAlign w:val="center"/>
            <w:hideMark/>
          </w:tcPr>
          <w:p w14:paraId="62B1B792" w14:textId="3ADA5F40"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Hpx</w:t>
            </w:r>
          </w:p>
        </w:tc>
        <w:tc>
          <w:tcPr>
            <w:tcW w:w="1169" w:type="pct"/>
            <w:tcBorders>
              <w:top w:val="nil"/>
              <w:left w:val="nil"/>
              <w:bottom w:val="nil"/>
              <w:right w:val="nil"/>
            </w:tcBorders>
            <w:shd w:val="clear" w:color="auto" w:fill="auto"/>
            <w:noWrap/>
            <w:vAlign w:val="center"/>
            <w:hideMark/>
          </w:tcPr>
          <w:p w14:paraId="56DC4204" w14:textId="11DD72D6"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3.125 </w:t>
            </w:r>
          </w:p>
        </w:tc>
        <w:tc>
          <w:tcPr>
            <w:tcW w:w="500" w:type="pct"/>
            <w:tcBorders>
              <w:top w:val="nil"/>
              <w:left w:val="nil"/>
              <w:bottom w:val="nil"/>
              <w:right w:val="nil"/>
            </w:tcBorders>
            <w:shd w:val="clear" w:color="auto" w:fill="auto"/>
            <w:noWrap/>
            <w:vAlign w:val="center"/>
            <w:hideMark/>
          </w:tcPr>
          <w:p w14:paraId="5ADD7575" w14:textId="34C144EF"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7CEFF9D1" w14:textId="0C1F3024"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1D4FD1D8" w14:textId="6758E9AF"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200</w:t>
            </w:r>
            <w:r w:rsidRPr="002C3397">
              <w:rPr>
                <w:rFonts w:ascii="Arial" w:eastAsia="等线" w:hAnsi="Arial" w:cs="Arial"/>
                <w:noProof/>
                <w:color w:val="000000"/>
                <w:kern w:val="0"/>
                <w:szCs w:val="21"/>
              </w:rPr>
              <w:t>]</w:t>
            </w:r>
          </w:p>
        </w:tc>
      </w:tr>
      <w:tr w:rsidR="00916F45" w:rsidRPr="002C3397" w14:paraId="06FDF929"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0F7528E5" w14:textId="7AB306F2"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ENSMUSG00000026009</w:t>
            </w:r>
          </w:p>
        </w:tc>
        <w:tc>
          <w:tcPr>
            <w:tcW w:w="916" w:type="pct"/>
            <w:gridSpan w:val="2"/>
            <w:tcBorders>
              <w:top w:val="nil"/>
              <w:left w:val="nil"/>
              <w:bottom w:val="nil"/>
              <w:right w:val="nil"/>
            </w:tcBorders>
            <w:shd w:val="clear" w:color="auto" w:fill="auto"/>
            <w:noWrap/>
            <w:vAlign w:val="center"/>
            <w:hideMark/>
          </w:tcPr>
          <w:p w14:paraId="1CAE8806" w14:textId="46690D87"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Icos</w:t>
            </w:r>
          </w:p>
        </w:tc>
        <w:tc>
          <w:tcPr>
            <w:tcW w:w="1169" w:type="pct"/>
            <w:tcBorders>
              <w:top w:val="nil"/>
              <w:left w:val="nil"/>
              <w:bottom w:val="nil"/>
              <w:right w:val="nil"/>
            </w:tcBorders>
            <w:shd w:val="clear" w:color="auto" w:fill="auto"/>
            <w:noWrap/>
            <w:vAlign w:val="center"/>
            <w:hideMark/>
          </w:tcPr>
          <w:p w14:paraId="6EA515CF" w14:textId="68679278"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-3.397 </w:t>
            </w:r>
          </w:p>
        </w:tc>
        <w:tc>
          <w:tcPr>
            <w:tcW w:w="500" w:type="pct"/>
            <w:tcBorders>
              <w:top w:val="nil"/>
              <w:left w:val="nil"/>
              <w:bottom w:val="nil"/>
              <w:right w:val="nil"/>
            </w:tcBorders>
            <w:shd w:val="clear" w:color="auto" w:fill="auto"/>
            <w:noWrap/>
            <w:vAlign w:val="center"/>
            <w:hideMark/>
          </w:tcPr>
          <w:p w14:paraId="4E4298EA" w14:textId="6D0C51CE"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6BF12671" w14:textId="1FCAED40"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1D5CAA4C" w14:textId="1166FA52"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201</w:t>
            </w:r>
            <w:r w:rsidRPr="002C3397">
              <w:rPr>
                <w:rFonts w:ascii="Arial" w:eastAsia="等线" w:hAnsi="Arial" w:cs="Arial"/>
                <w:noProof/>
                <w:color w:val="000000"/>
                <w:kern w:val="0"/>
                <w:szCs w:val="21"/>
              </w:rPr>
              <w:t>]</w:t>
            </w:r>
          </w:p>
        </w:tc>
      </w:tr>
      <w:tr w:rsidR="00916F45" w:rsidRPr="002C3397" w14:paraId="51F5E15F"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584C3B50" w14:textId="5E8A25B6"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ENSMUSG00000041548</w:t>
            </w:r>
          </w:p>
        </w:tc>
        <w:tc>
          <w:tcPr>
            <w:tcW w:w="916" w:type="pct"/>
            <w:gridSpan w:val="2"/>
            <w:tcBorders>
              <w:top w:val="nil"/>
              <w:left w:val="nil"/>
              <w:bottom w:val="nil"/>
              <w:right w:val="nil"/>
            </w:tcBorders>
            <w:shd w:val="clear" w:color="auto" w:fill="auto"/>
            <w:noWrap/>
            <w:vAlign w:val="center"/>
            <w:hideMark/>
          </w:tcPr>
          <w:p w14:paraId="7F8C4659" w14:textId="41EA245F"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Hspb8</w:t>
            </w:r>
          </w:p>
        </w:tc>
        <w:tc>
          <w:tcPr>
            <w:tcW w:w="1169" w:type="pct"/>
            <w:tcBorders>
              <w:top w:val="nil"/>
              <w:left w:val="nil"/>
              <w:bottom w:val="nil"/>
              <w:right w:val="nil"/>
            </w:tcBorders>
            <w:shd w:val="clear" w:color="auto" w:fill="auto"/>
            <w:noWrap/>
            <w:vAlign w:val="center"/>
            <w:hideMark/>
          </w:tcPr>
          <w:p w14:paraId="4373BFD0" w14:textId="73578816"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3.592 </w:t>
            </w:r>
          </w:p>
        </w:tc>
        <w:tc>
          <w:tcPr>
            <w:tcW w:w="500" w:type="pct"/>
            <w:tcBorders>
              <w:top w:val="nil"/>
              <w:left w:val="nil"/>
              <w:bottom w:val="nil"/>
              <w:right w:val="nil"/>
            </w:tcBorders>
            <w:shd w:val="clear" w:color="auto" w:fill="auto"/>
            <w:noWrap/>
            <w:vAlign w:val="center"/>
            <w:hideMark/>
          </w:tcPr>
          <w:p w14:paraId="4A927597" w14:textId="03106C6A"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6FB5F253" w14:textId="4DFA73E2"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321E5D81" w14:textId="4D1A6C8C"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202</w:t>
            </w:r>
            <w:r w:rsidRPr="002C3397">
              <w:rPr>
                <w:rFonts w:ascii="Arial" w:eastAsia="等线" w:hAnsi="Arial" w:cs="Arial"/>
                <w:noProof/>
                <w:color w:val="000000"/>
                <w:kern w:val="0"/>
                <w:szCs w:val="21"/>
              </w:rPr>
              <w:t>]</w:t>
            </w:r>
          </w:p>
        </w:tc>
      </w:tr>
      <w:tr w:rsidR="00916F45" w:rsidRPr="002C3397" w14:paraId="484EC016"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60D3EC9A" w14:textId="58DBA9D7"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ENSMUSG00000051136</w:t>
            </w:r>
          </w:p>
        </w:tc>
        <w:tc>
          <w:tcPr>
            <w:tcW w:w="916" w:type="pct"/>
            <w:gridSpan w:val="2"/>
            <w:tcBorders>
              <w:top w:val="nil"/>
              <w:left w:val="nil"/>
              <w:bottom w:val="nil"/>
              <w:right w:val="nil"/>
            </w:tcBorders>
            <w:shd w:val="clear" w:color="auto" w:fill="auto"/>
            <w:noWrap/>
            <w:vAlign w:val="center"/>
            <w:hideMark/>
          </w:tcPr>
          <w:p w14:paraId="3D28A9C9" w14:textId="35669027"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Ghsr</w:t>
            </w:r>
          </w:p>
        </w:tc>
        <w:tc>
          <w:tcPr>
            <w:tcW w:w="1169" w:type="pct"/>
            <w:tcBorders>
              <w:top w:val="nil"/>
              <w:left w:val="nil"/>
              <w:bottom w:val="nil"/>
              <w:right w:val="nil"/>
            </w:tcBorders>
            <w:shd w:val="clear" w:color="auto" w:fill="auto"/>
            <w:noWrap/>
            <w:vAlign w:val="center"/>
            <w:hideMark/>
          </w:tcPr>
          <w:p w14:paraId="5C0655B1" w14:textId="4A8B75E2"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4.322 </w:t>
            </w:r>
          </w:p>
        </w:tc>
        <w:tc>
          <w:tcPr>
            <w:tcW w:w="500" w:type="pct"/>
            <w:tcBorders>
              <w:top w:val="nil"/>
              <w:left w:val="nil"/>
              <w:bottom w:val="nil"/>
              <w:right w:val="nil"/>
            </w:tcBorders>
            <w:shd w:val="clear" w:color="auto" w:fill="auto"/>
            <w:noWrap/>
            <w:vAlign w:val="center"/>
            <w:hideMark/>
          </w:tcPr>
          <w:p w14:paraId="7A1240B0" w14:textId="34F66769"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29489487" w14:textId="08B0B231"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6076CACB" w14:textId="418C17DD"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203</w:t>
            </w:r>
            <w:r w:rsidRPr="002C3397">
              <w:rPr>
                <w:rFonts w:ascii="Arial" w:eastAsia="等线" w:hAnsi="Arial" w:cs="Arial"/>
                <w:noProof/>
                <w:color w:val="000000"/>
                <w:kern w:val="0"/>
                <w:szCs w:val="21"/>
              </w:rPr>
              <w:t>]</w:t>
            </w:r>
          </w:p>
        </w:tc>
      </w:tr>
      <w:tr w:rsidR="00916F45" w:rsidRPr="002C3397" w14:paraId="595EE919"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102BECE1" w14:textId="7F77B2D7"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ENSMUSG00000029859</w:t>
            </w:r>
          </w:p>
        </w:tc>
        <w:tc>
          <w:tcPr>
            <w:tcW w:w="916" w:type="pct"/>
            <w:gridSpan w:val="2"/>
            <w:tcBorders>
              <w:top w:val="nil"/>
              <w:left w:val="nil"/>
              <w:bottom w:val="nil"/>
              <w:right w:val="nil"/>
            </w:tcBorders>
            <w:shd w:val="clear" w:color="auto" w:fill="auto"/>
            <w:noWrap/>
            <w:vAlign w:val="center"/>
            <w:hideMark/>
          </w:tcPr>
          <w:p w14:paraId="002B21E6" w14:textId="7223C37A"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Epha1</w:t>
            </w:r>
          </w:p>
        </w:tc>
        <w:tc>
          <w:tcPr>
            <w:tcW w:w="1169" w:type="pct"/>
            <w:tcBorders>
              <w:top w:val="nil"/>
              <w:left w:val="nil"/>
              <w:bottom w:val="nil"/>
              <w:right w:val="nil"/>
            </w:tcBorders>
            <w:shd w:val="clear" w:color="auto" w:fill="auto"/>
            <w:noWrap/>
            <w:vAlign w:val="center"/>
            <w:hideMark/>
          </w:tcPr>
          <w:p w14:paraId="11C023D6" w14:textId="1C644790"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4.265 </w:t>
            </w:r>
          </w:p>
        </w:tc>
        <w:tc>
          <w:tcPr>
            <w:tcW w:w="500" w:type="pct"/>
            <w:tcBorders>
              <w:top w:val="nil"/>
              <w:left w:val="nil"/>
              <w:bottom w:val="nil"/>
              <w:right w:val="nil"/>
            </w:tcBorders>
            <w:shd w:val="clear" w:color="auto" w:fill="auto"/>
            <w:noWrap/>
            <w:vAlign w:val="center"/>
            <w:hideMark/>
          </w:tcPr>
          <w:p w14:paraId="132B93D3" w14:textId="5D91100A"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09D2C7A6" w14:textId="11D62666"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7641E79A" w14:textId="38BB8AC6"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204</w:t>
            </w:r>
            <w:r w:rsidRPr="002C3397">
              <w:rPr>
                <w:rFonts w:ascii="Arial" w:eastAsia="等线" w:hAnsi="Arial" w:cs="Arial"/>
                <w:noProof/>
                <w:color w:val="000000"/>
                <w:kern w:val="0"/>
                <w:szCs w:val="21"/>
              </w:rPr>
              <w:t>]</w:t>
            </w:r>
          </w:p>
        </w:tc>
      </w:tr>
      <w:tr w:rsidR="00916F45" w:rsidRPr="002C3397" w14:paraId="23C4D325"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2921548D" w14:textId="0FFCBF8F"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ENSMUSG00000016529</w:t>
            </w:r>
          </w:p>
        </w:tc>
        <w:tc>
          <w:tcPr>
            <w:tcW w:w="916" w:type="pct"/>
            <w:gridSpan w:val="2"/>
            <w:tcBorders>
              <w:top w:val="nil"/>
              <w:left w:val="nil"/>
              <w:bottom w:val="nil"/>
              <w:right w:val="nil"/>
            </w:tcBorders>
            <w:shd w:val="clear" w:color="auto" w:fill="auto"/>
            <w:noWrap/>
            <w:vAlign w:val="center"/>
            <w:hideMark/>
          </w:tcPr>
          <w:p w14:paraId="7EB57159" w14:textId="2D150FD5"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Il10</w:t>
            </w:r>
          </w:p>
        </w:tc>
        <w:tc>
          <w:tcPr>
            <w:tcW w:w="1169" w:type="pct"/>
            <w:tcBorders>
              <w:top w:val="nil"/>
              <w:left w:val="nil"/>
              <w:bottom w:val="nil"/>
              <w:right w:val="nil"/>
            </w:tcBorders>
            <w:shd w:val="clear" w:color="auto" w:fill="auto"/>
            <w:noWrap/>
            <w:vAlign w:val="center"/>
            <w:hideMark/>
          </w:tcPr>
          <w:p w14:paraId="11CA5227" w14:textId="429A095C"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3.695 </w:t>
            </w:r>
          </w:p>
        </w:tc>
        <w:tc>
          <w:tcPr>
            <w:tcW w:w="500" w:type="pct"/>
            <w:tcBorders>
              <w:top w:val="nil"/>
              <w:left w:val="nil"/>
              <w:bottom w:val="nil"/>
              <w:right w:val="nil"/>
            </w:tcBorders>
            <w:shd w:val="clear" w:color="auto" w:fill="auto"/>
            <w:noWrap/>
            <w:vAlign w:val="center"/>
            <w:hideMark/>
          </w:tcPr>
          <w:p w14:paraId="19BE6E86" w14:textId="233E5BFF"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39A2C1AE" w14:textId="2753897B"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33ECF020" w14:textId="074B041C"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205</w:t>
            </w:r>
            <w:r w:rsidRPr="002C3397">
              <w:rPr>
                <w:rFonts w:ascii="Arial" w:eastAsia="等线" w:hAnsi="Arial" w:cs="Arial"/>
                <w:noProof/>
                <w:color w:val="000000"/>
                <w:kern w:val="0"/>
                <w:szCs w:val="21"/>
              </w:rPr>
              <w:t>]</w:t>
            </w:r>
          </w:p>
        </w:tc>
      </w:tr>
      <w:tr w:rsidR="00916F45" w:rsidRPr="002C3397" w14:paraId="2C2232A5"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50E4EBE9" w14:textId="5D93633B"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ENSMUSG00000030124</w:t>
            </w:r>
          </w:p>
        </w:tc>
        <w:tc>
          <w:tcPr>
            <w:tcW w:w="916" w:type="pct"/>
            <w:gridSpan w:val="2"/>
            <w:tcBorders>
              <w:top w:val="nil"/>
              <w:left w:val="nil"/>
              <w:bottom w:val="nil"/>
              <w:right w:val="nil"/>
            </w:tcBorders>
            <w:shd w:val="clear" w:color="auto" w:fill="auto"/>
            <w:noWrap/>
            <w:vAlign w:val="center"/>
            <w:hideMark/>
          </w:tcPr>
          <w:p w14:paraId="793B2FB2" w14:textId="5144C922"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Lag3</w:t>
            </w:r>
          </w:p>
        </w:tc>
        <w:tc>
          <w:tcPr>
            <w:tcW w:w="1169" w:type="pct"/>
            <w:tcBorders>
              <w:top w:val="nil"/>
              <w:left w:val="nil"/>
              <w:bottom w:val="nil"/>
              <w:right w:val="nil"/>
            </w:tcBorders>
            <w:shd w:val="clear" w:color="auto" w:fill="auto"/>
            <w:noWrap/>
            <w:vAlign w:val="center"/>
            <w:hideMark/>
          </w:tcPr>
          <w:p w14:paraId="6EA1A8A3" w14:textId="2B2ACA9C"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2.867 </w:t>
            </w:r>
          </w:p>
        </w:tc>
        <w:tc>
          <w:tcPr>
            <w:tcW w:w="500" w:type="pct"/>
            <w:tcBorders>
              <w:top w:val="nil"/>
              <w:left w:val="nil"/>
              <w:bottom w:val="nil"/>
              <w:right w:val="nil"/>
            </w:tcBorders>
            <w:shd w:val="clear" w:color="auto" w:fill="auto"/>
            <w:noWrap/>
            <w:vAlign w:val="center"/>
            <w:hideMark/>
          </w:tcPr>
          <w:p w14:paraId="4ACF617C" w14:textId="06C6001D"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10DBBE06" w14:textId="790F0EA7"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591595D7" w14:textId="2DAFA5D5"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206</w:t>
            </w:r>
            <w:r w:rsidRPr="002C3397">
              <w:rPr>
                <w:rFonts w:ascii="Arial" w:eastAsia="等线" w:hAnsi="Arial" w:cs="Arial"/>
                <w:noProof/>
                <w:color w:val="000000"/>
                <w:kern w:val="0"/>
                <w:szCs w:val="21"/>
              </w:rPr>
              <w:t>]</w:t>
            </w:r>
          </w:p>
        </w:tc>
      </w:tr>
      <w:tr w:rsidR="00916F45" w:rsidRPr="002C3397" w14:paraId="15385591"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36FDC01B" w14:textId="38C56BDD"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ENSMUSG00000027070</w:t>
            </w:r>
          </w:p>
        </w:tc>
        <w:tc>
          <w:tcPr>
            <w:tcW w:w="916" w:type="pct"/>
            <w:gridSpan w:val="2"/>
            <w:tcBorders>
              <w:top w:val="nil"/>
              <w:left w:val="nil"/>
              <w:bottom w:val="nil"/>
              <w:right w:val="nil"/>
            </w:tcBorders>
            <w:shd w:val="clear" w:color="auto" w:fill="auto"/>
            <w:noWrap/>
            <w:vAlign w:val="center"/>
            <w:hideMark/>
          </w:tcPr>
          <w:p w14:paraId="3FBF8F52" w14:textId="7421E8FA"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Lrp2</w:t>
            </w:r>
          </w:p>
        </w:tc>
        <w:tc>
          <w:tcPr>
            <w:tcW w:w="1169" w:type="pct"/>
            <w:tcBorders>
              <w:top w:val="nil"/>
              <w:left w:val="nil"/>
              <w:bottom w:val="nil"/>
              <w:right w:val="nil"/>
            </w:tcBorders>
            <w:shd w:val="clear" w:color="auto" w:fill="auto"/>
            <w:noWrap/>
            <w:vAlign w:val="center"/>
            <w:hideMark/>
          </w:tcPr>
          <w:p w14:paraId="32EA0984" w14:textId="48110511"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3.538 </w:t>
            </w:r>
          </w:p>
        </w:tc>
        <w:tc>
          <w:tcPr>
            <w:tcW w:w="500" w:type="pct"/>
            <w:tcBorders>
              <w:top w:val="nil"/>
              <w:left w:val="nil"/>
              <w:bottom w:val="nil"/>
              <w:right w:val="nil"/>
            </w:tcBorders>
            <w:shd w:val="clear" w:color="auto" w:fill="auto"/>
            <w:noWrap/>
            <w:vAlign w:val="center"/>
            <w:hideMark/>
          </w:tcPr>
          <w:p w14:paraId="577BE6CB" w14:textId="1C91E6B4"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4751CB6B" w14:textId="1AD18FF4"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27F5A143" w14:textId="13EB3B7F"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207</w:t>
            </w:r>
            <w:r w:rsidRPr="002C3397">
              <w:rPr>
                <w:rFonts w:ascii="Arial" w:eastAsia="等线" w:hAnsi="Arial" w:cs="Arial"/>
                <w:noProof/>
                <w:color w:val="000000"/>
                <w:kern w:val="0"/>
                <w:szCs w:val="21"/>
              </w:rPr>
              <w:t>]</w:t>
            </w:r>
          </w:p>
        </w:tc>
      </w:tr>
      <w:tr w:rsidR="00916F45" w:rsidRPr="002C3397" w14:paraId="000FA51A"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2D37676E" w14:textId="440B55F9"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ENSMUSG00000041460</w:t>
            </w:r>
          </w:p>
        </w:tc>
        <w:tc>
          <w:tcPr>
            <w:tcW w:w="916" w:type="pct"/>
            <w:gridSpan w:val="2"/>
            <w:tcBorders>
              <w:top w:val="nil"/>
              <w:left w:val="nil"/>
              <w:bottom w:val="nil"/>
              <w:right w:val="nil"/>
            </w:tcBorders>
            <w:shd w:val="clear" w:color="auto" w:fill="auto"/>
            <w:noWrap/>
            <w:vAlign w:val="center"/>
            <w:hideMark/>
          </w:tcPr>
          <w:p w14:paraId="4187B2F0" w14:textId="247EF0EC"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Cacna2d4</w:t>
            </w:r>
          </w:p>
        </w:tc>
        <w:tc>
          <w:tcPr>
            <w:tcW w:w="1169" w:type="pct"/>
            <w:tcBorders>
              <w:top w:val="nil"/>
              <w:left w:val="nil"/>
              <w:bottom w:val="nil"/>
              <w:right w:val="nil"/>
            </w:tcBorders>
            <w:shd w:val="clear" w:color="auto" w:fill="auto"/>
            <w:noWrap/>
            <w:vAlign w:val="center"/>
            <w:hideMark/>
          </w:tcPr>
          <w:p w14:paraId="0DE88213" w14:textId="0E0B105D"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-2.800 </w:t>
            </w:r>
          </w:p>
        </w:tc>
        <w:tc>
          <w:tcPr>
            <w:tcW w:w="500" w:type="pct"/>
            <w:tcBorders>
              <w:top w:val="nil"/>
              <w:left w:val="nil"/>
              <w:bottom w:val="nil"/>
              <w:right w:val="nil"/>
            </w:tcBorders>
            <w:shd w:val="clear" w:color="auto" w:fill="auto"/>
            <w:noWrap/>
            <w:vAlign w:val="center"/>
            <w:hideMark/>
          </w:tcPr>
          <w:p w14:paraId="2BD2C10F" w14:textId="0984025E"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4F453217" w14:textId="5C6D64EC"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2C9F8DCC" w14:textId="1AD7E059"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208</w:t>
            </w:r>
            <w:r w:rsidRPr="002C3397">
              <w:rPr>
                <w:rFonts w:ascii="Arial" w:eastAsia="等线" w:hAnsi="Arial" w:cs="Arial"/>
                <w:noProof/>
                <w:color w:val="000000"/>
                <w:kern w:val="0"/>
                <w:szCs w:val="21"/>
              </w:rPr>
              <w:t>]</w:t>
            </w:r>
          </w:p>
        </w:tc>
      </w:tr>
      <w:tr w:rsidR="00916F45" w:rsidRPr="002C3397" w14:paraId="66B900B6"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733D8FB0" w14:textId="15882C91"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ENSMUSG00000040592</w:t>
            </w:r>
          </w:p>
        </w:tc>
        <w:tc>
          <w:tcPr>
            <w:tcW w:w="916" w:type="pct"/>
            <w:gridSpan w:val="2"/>
            <w:tcBorders>
              <w:top w:val="nil"/>
              <w:left w:val="nil"/>
              <w:bottom w:val="nil"/>
              <w:right w:val="nil"/>
            </w:tcBorders>
            <w:shd w:val="clear" w:color="auto" w:fill="auto"/>
            <w:noWrap/>
            <w:vAlign w:val="center"/>
            <w:hideMark/>
          </w:tcPr>
          <w:p w14:paraId="1BBE4A74" w14:textId="59C78F63"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Cd79b</w:t>
            </w:r>
          </w:p>
        </w:tc>
        <w:tc>
          <w:tcPr>
            <w:tcW w:w="1169" w:type="pct"/>
            <w:tcBorders>
              <w:top w:val="nil"/>
              <w:left w:val="nil"/>
              <w:bottom w:val="nil"/>
              <w:right w:val="nil"/>
            </w:tcBorders>
            <w:shd w:val="clear" w:color="auto" w:fill="auto"/>
            <w:noWrap/>
            <w:vAlign w:val="center"/>
            <w:hideMark/>
          </w:tcPr>
          <w:p w14:paraId="6E3AFA76" w14:textId="1581B2F9"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4.147 </w:t>
            </w:r>
          </w:p>
        </w:tc>
        <w:tc>
          <w:tcPr>
            <w:tcW w:w="500" w:type="pct"/>
            <w:tcBorders>
              <w:top w:val="nil"/>
              <w:left w:val="nil"/>
              <w:bottom w:val="nil"/>
              <w:right w:val="nil"/>
            </w:tcBorders>
            <w:shd w:val="clear" w:color="auto" w:fill="auto"/>
            <w:noWrap/>
            <w:vAlign w:val="center"/>
            <w:hideMark/>
          </w:tcPr>
          <w:p w14:paraId="67A77527" w14:textId="5C905E87"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1E4655C7" w14:textId="437D86B0"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0B556965" w14:textId="18F21E03"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209</w:t>
            </w:r>
            <w:r w:rsidRPr="002C3397">
              <w:rPr>
                <w:rFonts w:ascii="Arial" w:eastAsia="等线" w:hAnsi="Arial" w:cs="Arial"/>
                <w:noProof/>
                <w:color w:val="000000"/>
                <w:kern w:val="0"/>
                <w:szCs w:val="21"/>
              </w:rPr>
              <w:t>]</w:t>
            </w:r>
          </w:p>
        </w:tc>
      </w:tr>
      <w:tr w:rsidR="00916F45" w:rsidRPr="002C3397" w14:paraId="07A7093F"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625D28B9" w14:textId="4CD859AF" w:rsidR="00916F45" w:rsidRPr="002C3397" w:rsidRDefault="00F07C9B"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ENSMUSG00000004698</w:t>
            </w:r>
          </w:p>
        </w:tc>
        <w:tc>
          <w:tcPr>
            <w:tcW w:w="916" w:type="pct"/>
            <w:gridSpan w:val="2"/>
            <w:tcBorders>
              <w:top w:val="nil"/>
              <w:left w:val="nil"/>
              <w:bottom w:val="nil"/>
              <w:right w:val="nil"/>
            </w:tcBorders>
            <w:shd w:val="clear" w:color="auto" w:fill="auto"/>
            <w:noWrap/>
            <w:vAlign w:val="center"/>
            <w:hideMark/>
          </w:tcPr>
          <w:p w14:paraId="2AF01C8C" w14:textId="697EA97B" w:rsidR="00916F45" w:rsidRPr="002C3397" w:rsidRDefault="00F07C9B" w:rsidP="00916F45">
            <w:pPr>
              <w:widowControl/>
              <w:jc w:val="center"/>
              <w:rPr>
                <w:rFonts w:ascii="Arial" w:eastAsia="等线" w:hAnsi="Arial" w:cs="Arial"/>
                <w:i/>
                <w:iCs/>
                <w:color w:val="000000"/>
                <w:kern w:val="0"/>
                <w:szCs w:val="21"/>
                <w:highlight w:val="yellow"/>
              </w:rPr>
            </w:pPr>
            <w:r w:rsidRPr="002C3397">
              <w:rPr>
                <w:rFonts w:ascii="Arial" w:eastAsia="等线" w:hAnsi="Arial" w:cs="Arial"/>
                <w:i/>
                <w:iCs/>
                <w:color w:val="000000"/>
                <w:szCs w:val="21"/>
              </w:rPr>
              <w:t>Hdac9</w:t>
            </w:r>
          </w:p>
        </w:tc>
        <w:tc>
          <w:tcPr>
            <w:tcW w:w="1169" w:type="pct"/>
            <w:tcBorders>
              <w:top w:val="nil"/>
              <w:left w:val="nil"/>
              <w:bottom w:val="nil"/>
              <w:right w:val="nil"/>
            </w:tcBorders>
            <w:shd w:val="clear" w:color="auto" w:fill="auto"/>
            <w:noWrap/>
            <w:vAlign w:val="center"/>
            <w:hideMark/>
          </w:tcPr>
          <w:p w14:paraId="5883EA72" w14:textId="3399206A" w:rsidR="00916F45" w:rsidRPr="002C3397" w:rsidRDefault="00F07C9B"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-2.759</w:t>
            </w:r>
            <w:r w:rsidR="00916F45" w:rsidRPr="002C3397">
              <w:rPr>
                <w:rFonts w:ascii="Arial" w:eastAsia="等线" w:hAnsi="Arial" w:cs="Arial"/>
                <w:color w:val="000000"/>
                <w:szCs w:val="21"/>
              </w:rPr>
              <w:t xml:space="preserve"> </w:t>
            </w:r>
          </w:p>
        </w:tc>
        <w:tc>
          <w:tcPr>
            <w:tcW w:w="500" w:type="pct"/>
            <w:tcBorders>
              <w:top w:val="nil"/>
              <w:left w:val="nil"/>
              <w:bottom w:val="nil"/>
              <w:right w:val="nil"/>
            </w:tcBorders>
            <w:shd w:val="clear" w:color="auto" w:fill="auto"/>
            <w:noWrap/>
            <w:vAlign w:val="center"/>
            <w:hideMark/>
          </w:tcPr>
          <w:p w14:paraId="57C5EB1C" w14:textId="7A9F1288"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5ED966E3" w14:textId="0D726D19"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554D0AE0" w14:textId="794A8778"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210</w:t>
            </w:r>
            <w:r w:rsidRPr="002C3397">
              <w:rPr>
                <w:rFonts w:ascii="Arial" w:eastAsia="等线" w:hAnsi="Arial" w:cs="Arial"/>
                <w:noProof/>
                <w:color w:val="000000"/>
                <w:kern w:val="0"/>
                <w:szCs w:val="21"/>
              </w:rPr>
              <w:t>]</w:t>
            </w:r>
          </w:p>
        </w:tc>
      </w:tr>
      <w:tr w:rsidR="00916F45" w:rsidRPr="002C3397" w14:paraId="67F96EFE"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2E1A6F82" w14:textId="3E411425"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ENSMUSG00000026700</w:t>
            </w:r>
          </w:p>
        </w:tc>
        <w:tc>
          <w:tcPr>
            <w:tcW w:w="916" w:type="pct"/>
            <w:gridSpan w:val="2"/>
            <w:tcBorders>
              <w:top w:val="nil"/>
              <w:left w:val="nil"/>
              <w:bottom w:val="nil"/>
              <w:right w:val="nil"/>
            </w:tcBorders>
            <w:shd w:val="clear" w:color="auto" w:fill="auto"/>
            <w:noWrap/>
            <w:vAlign w:val="center"/>
            <w:hideMark/>
          </w:tcPr>
          <w:p w14:paraId="47349BDA" w14:textId="064A6DB1"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Tnfsf4</w:t>
            </w:r>
          </w:p>
        </w:tc>
        <w:tc>
          <w:tcPr>
            <w:tcW w:w="1169" w:type="pct"/>
            <w:tcBorders>
              <w:top w:val="nil"/>
              <w:left w:val="nil"/>
              <w:bottom w:val="nil"/>
              <w:right w:val="nil"/>
            </w:tcBorders>
            <w:shd w:val="clear" w:color="auto" w:fill="auto"/>
            <w:noWrap/>
            <w:vAlign w:val="center"/>
            <w:hideMark/>
          </w:tcPr>
          <w:p w14:paraId="484BDAED" w14:textId="014D2805"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2.197 </w:t>
            </w:r>
          </w:p>
        </w:tc>
        <w:tc>
          <w:tcPr>
            <w:tcW w:w="500" w:type="pct"/>
            <w:tcBorders>
              <w:top w:val="nil"/>
              <w:left w:val="nil"/>
              <w:bottom w:val="nil"/>
              <w:right w:val="nil"/>
            </w:tcBorders>
            <w:shd w:val="clear" w:color="auto" w:fill="auto"/>
            <w:noWrap/>
            <w:vAlign w:val="center"/>
            <w:hideMark/>
          </w:tcPr>
          <w:p w14:paraId="211AA30C" w14:textId="426E3AD1"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15EDBAE2" w14:textId="564A7D1E"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5C273A6E" w14:textId="3F3CDCD2"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211</w:t>
            </w:r>
            <w:r w:rsidRPr="002C3397">
              <w:rPr>
                <w:rFonts w:ascii="Arial" w:eastAsia="等线" w:hAnsi="Arial" w:cs="Arial"/>
                <w:noProof/>
                <w:color w:val="000000"/>
                <w:kern w:val="0"/>
                <w:szCs w:val="21"/>
              </w:rPr>
              <w:t>]</w:t>
            </w:r>
          </w:p>
        </w:tc>
      </w:tr>
      <w:tr w:rsidR="00916F45" w:rsidRPr="002C3397" w14:paraId="39D48C95"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6723E8BA" w14:textId="05793F44"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ENSMUSG00000014813</w:t>
            </w:r>
          </w:p>
        </w:tc>
        <w:tc>
          <w:tcPr>
            <w:tcW w:w="916" w:type="pct"/>
            <w:gridSpan w:val="2"/>
            <w:tcBorders>
              <w:top w:val="nil"/>
              <w:left w:val="nil"/>
              <w:bottom w:val="nil"/>
              <w:right w:val="nil"/>
            </w:tcBorders>
            <w:shd w:val="clear" w:color="auto" w:fill="auto"/>
            <w:noWrap/>
            <w:vAlign w:val="center"/>
            <w:hideMark/>
          </w:tcPr>
          <w:p w14:paraId="67A41B55" w14:textId="2A7EC688"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Stc1</w:t>
            </w:r>
          </w:p>
        </w:tc>
        <w:tc>
          <w:tcPr>
            <w:tcW w:w="1169" w:type="pct"/>
            <w:tcBorders>
              <w:top w:val="nil"/>
              <w:left w:val="nil"/>
              <w:bottom w:val="nil"/>
              <w:right w:val="nil"/>
            </w:tcBorders>
            <w:shd w:val="clear" w:color="auto" w:fill="auto"/>
            <w:noWrap/>
            <w:vAlign w:val="center"/>
            <w:hideMark/>
          </w:tcPr>
          <w:p w14:paraId="1DB97E12" w14:textId="11EED6AA"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-3.570 </w:t>
            </w:r>
          </w:p>
        </w:tc>
        <w:tc>
          <w:tcPr>
            <w:tcW w:w="500" w:type="pct"/>
            <w:tcBorders>
              <w:top w:val="nil"/>
              <w:left w:val="nil"/>
              <w:bottom w:val="nil"/>
              <w:right w:val="nil"/>
            </w:tcBorders>
            <w:shd w:val="clear" w:color="auto" w:fill="auto"/>
            <w:noWrap/>
            <w:vAlign w:val="center"/>
            <w:hideMark/>
          </w:tcPr>
          <w:p w14:paraId="70264B7B" w14:textId="37007921"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082AB0D0" w14:textId="65FD653A"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68CDCA3E" w14:textId="49A4C815"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212</w:t>
            </w:r>
            <w:r w:rsidRPr="002C3397">
              <w:rPr>
                <w:rFonts w:ascii="Arial" w:eastAsia="等线" w:hAnsi="Arial" w:cs="Arial"/>
                <w:noProof/>
                <w:color w:val="000000"/>
                <w:kern w:val="0"/>
                <w:szCs w:val="21"/>
              </w:rPr>
              <w:t>]</w:t>
            </w:r>
          </w:p>
        </w:tc>
      </w:tr>
      <w:tr w:rsidR="00916F45" w:rsidRPr="002C3397" w14:paraId="1AB746DC"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2A2204B9" w14:textId="29CFEB1E"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ENSMUSG00000002289</w:t>
            </w:r>
          </w:p>
        </w:tc>
        <w:tc>
          <w:tcPr>
            <w:tcW w:w="916" w:type="pct"/>
            <w:gridSpan w:val="2"/>
            <w:tcBorders>
              <w:top w:val="nil"/>
              <w:left w:val="nil"/>
              <w:bottom w:val="nil"/>
              <w:right w:val="nil"/>
            </w:tcBorders>
            <w:shd w:val="clear" w:color="auto" w:fill="auto"/>
            <w:noWrap/>
            <w:vAlign w:val="center"/>
            <w:hideMark/>
          </w:tcPr>
          <w:p w14:paraId="761C09D1" w14:textId="28E671A4"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Angptl4</w:t>
            </w:r>
          </w:p>
        </w:tc>
        <w:tc>
          <w:tcPr>
            <w:tcW w:w="1169" w:type="pct"/>
            <w:tcBorders>
              <w:top w:val="nil"/>
              <w:left w:val="nil"/>
              <w:bottom w:val="nil"/>
              <w:right w:val="nil"/>
            </w:tcBorders>
            <w:shd w:val="clear" w:color="auto" w:fill="auto"/>
            <w:noWrap/>
            <w:vAlign w:val="center"/>
            <w:hideMark/>
          </w:tcPr>
          <w:p w14:paraId="2CB1843F" w14:textId="11F49B6B"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-2.203 </w:t>
            </w:r>
          </w:p>
        </w:tc>
        <w:tc>
          <w:tcPr>
            <w:tcW w:w="500" w:type="pct"/>
            <w:tcBorders>
              <w:top w:val="nil"/>
              <w:left w:val="nil"/>
              <w:bottom w:val="nil"/>
              <w:right w:val="nil"/>
            </w:tcBorders>
            <w:shd w:val="clear" w:color="auto" w:fill="auto"/>
            <w:noWrap/>
            <w:vAlign w:val="center"/>
            <w:hideMark/>
          </w:tcPr>
          <w:p w14:paraId="312B3F54" w14:textId="0EE63060"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63293635" w14:textId="6E7AAFB1"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3F116E0A" w14:textId="7E21D1A6"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213</w:t>
            </w:r>
            <w:r w:rsidRPr="002C3397">
              <w:rPr>
                <w:rFonts w:ascii="Arial" w:eastAsia="等线" w:hAnsi="Arial" w:cs="Arial"/>
                <w:noProof/>
                <w:color w:val="000000"/>
                <w:kern w:val="0"/>
                <w:szCs w:val="21"/>
              </w:rPr>
              <w:t>]</w:t>
            </w:r>
          </w:p>
        </w:tc>
      </w:tr>
      <w:tr w:rsidR="00916F45" w:rsidRPr="002C3397" w14:paraId="01F55B54"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04261581" w14:textId="35CCDF4E"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ENSMUSG00000091971</w:t>
            </w:r>
          </w:p>
        </w:tc>
        <w:tc>
          <w:tcPr>
            <w:tcW w:w="916" w:type="pct"/>
            <w:gridSpan w:val="2"/>
            <w:tcBorders>
              <w:top w:val="nil"/>
              <w:left w:val="nil"/>
              <w:bottom w:val="nil"/>
              <w:right w:val="nil"/>
            </w:tcBorders>
            <w:shd w:val="clear" w:color="auto" w:fill="auto"/>
            <w:noWrap/>
            <w:vAlign w:val="center"/>
            <w:hideMark/>
          </w:tcPr>
          <w:p w14:paraId="4413B674" w14:textId="75EF54EA"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Hspa1a</w:t>
            </w:r>
          </w:p>
        </w:tc>
        <w:tc>
          <w:tcPr>
            <w:tcW w:w="1169" w:type="pct"/>
            <w:tcBorders>
              <w:top w:val="nil"/>
              <w:left w:val="nil"/>
              <w:bottom w:val="nil"/>
              <w:right w:val="nil"/>
            </w:tcBorders>
            <w:shd w:val="clear" w:color="auto" w:fill="auto"/>
            <w:noWrap/>
            <w:vAlign w:val="center"/>
            <w:hideMark/>
          </w:tcPr>
          <w:p w14:paraId="434B49A5" w14:textId="134052E7"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5.484 </w:t>
            </w:r>
          </w:p>
        </w:tc>
        <w:tc>
          <w:tcPr>
            <w:tcW w:w="500" w:type="pct"/>
            <w:tcBorders>
              <w:top w:val="nil"/>
              <w:left w:val="nil"/>
              <w:bottom w:val="nil"/>
              <w:right w:val="nil"/>
            </w:tcBorders>
            <w:shd w:val="clear" w:color="auto" w:fill="auto"/>
            <w:noWrap/>
            <w:vAlign w:val="center"/>
            <w:hideMark/>
          </w:tcPr>
          <w:p w14:paraId="3A55200D" w14:textId="4ADDF209"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6EBB55C8" w14:textId="3A62A7BF"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23D6C94D" w14:textId="69AA34DF"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214</w:t>
            </w:r>
            <w:r w:rsidRPr="002C3397">
              <w:rPr>
                <w:rFonts w:ascii="Arial" w:eastAsia="等线" w:hAnsi="Arial" w:cs="Arial"/>
                <w:noProof/>
                <w:color w:val="000000"/>
                <w:kern w:val="0"/>
                <w:szCs w:val="21"/>
              </w:rPr>
              <w:t>]</w:t>
            </w:r>
          </w:p>
        </w:tc>
      </w:tr>
      <w:tr w:rsidR="00916F45" w:rsidRPr="002C3397" w14:paraId="7ED37A5F"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3CBD5C83" w14:textId="630582F8"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ENSMUSG00000023914</w:t>
            </w:r>
          </w:p>
        </w:tc>
        <w:tc>
          <w:tcPr>
            <w:tcW w:w="916" w:type="pct"/>
            <w:gridSpan w:val="2"/>
            <w:tcBorders>
              <w:top w:val="nil"/>
              <w:left w:val="nil"/>
              <w:bottom w:val="nil"/>
              <w:right w:val="nil"/>
            </w:tcBorders>
            <w:shd w:val="clear" w:color="auto" w:fill="auto"/>
            <w:noWrap/>
            <w:vAlign w:val="center"/>
            <w:hideMark/>
          </w:tcPr>
          <w:p w14:paraId="4792F3DF" w14:textId="3B481B63"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Mep1a</w:t>
            </w:r>
          </w:p>
        </w:tc>
        <w:tc>
          <w:tcPr>
            <w:tcW w:w="1169" w:type="pct"/>
            <w:tcBorders>
              <w:top w:val="nil"/>
              <w:left w:val="nil"/>
              <w:bottom w:val="nil"/>
              <w:right w:val="nil"/>
            </w:tcBorders>
            <w:shd w:val="clear" w:color="auto" w:fill="auto"/>
            <w:noWrap/>
            <w:vAlign w:val="center"/>
            <w:hideMark/>
          </w:tcPr>
          <w:p w14:paraId="6BA27A2A" w14:textId="7CE8B4B2"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5.484 </w:t>
            </w:r>
          </w:p>
        </w:tc>
        <w:tc>
          <w:tcPr>
            <w:tcW w:w="500" w:type="pct"/>
            <w:tcBorders>
              <w:top w:val="nil"/>
              <w:left w:val="nil"/>
              <w:bottom w:val="nil"/>
              <w:right w:val="nil"/>
            </w:tcBorders>
            <w:shd w:val="clear" w:color="auto" w:fill="auto"/>
            <w:noWrap/>
            <w:vAlign w:val="center"/>
            <w:hideMark/>
          </w:tcPr>
          <w:p w14:paraId="53359A63" w14:textId="04C2088B"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4A70AEFE" w14:textId="61F5B44B"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5FF616BF" w14:textId="26DBC781"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215</w:t>
            </w:r>
            <w:r w:rsidRPr="002C3397">
              <w:rPr>
                <w:rFonts w:ascii="Arial" w:eastAsia="等线" w:hAnsi="Arial" w:cs="Arial"/>
                <w:noProof/>
                <w:color w:val="000000"/>
                <w:kern w:val="0"/>
                <w:szCs w:val="21"/>
              </w:rPr>
              <w:t>]</w:t>
            </w:r>
          </w:p>
        </w:tc>
      </w:tr>
      <w:tr w:rsidR="00916F45" w:rsidRPr="002C3397" w14:paraId="3AA639EF"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120A7850" w14:textId="27137299"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ENSMUSG00000020122</w:t>
            </w:r>
          </w:p>
        </w:tc>
        <w:tc>
          <w:tcPr>
            <w:tcW w:w="916" w:type="pct"/>
            <w:gridSpan w:val="2"/>
            <w:tcBorders>
              <w:top w:val="nil"/>
              <w:left w:val="nil"/>
              <w:bottom w:val="nil"/>
              <w:right w:val="nil"/>
            </w:tcBorders>
            <w:shd w:val="clear" w:color="auto" w:fill="auto"/>
            <w:noWrap/>
            <w:vAlign w:val="center"/>
            <w:hideMark/>
          </w:tcPr>
          <w:p w14:paraId="36B65AD2" w14:textId="5CAD7E12"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Egfr</w:t>
            </w:r>
          </w:p>
        </w:tc>
        <w:tc>
          <w:tcPr>
            <w:tcW w:w="1169" w:type="pct"/>
            <w:tcBorders>
              <w:top w:val="nil"/>
              <w:left w:val="nil"/>
              <w:bottom w:val="nil"/>
              <w:right w:val="nil"/>
            </w:tcBorders>
            <w:shd w:val="clear" w:color="auto" w:fill="auto"/>
            <w:noWrap/>
            <w:vAlign w:val="center"/>
            <w:hideMark/>
          </w:tcPr>
          <w:p w14:paraId="0CC70841" w14:textId="1D2B695E"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2.977 </w:t>
            </w:r>
          </w:p>
        </w:tc>
        <w:tc>
          <w:tcPr>
            <w:tcW w:w="500" w:type="pct"/>
            <w:tcBorders>
              <w:top w:val="nil"/>
              <w:left w:val="nil"/>
              <w:bottom w:val="nil"/>
              <w:right w:val="nil"/>
            </w:tcBorders>
            <w:shd w:val="clear" w:color="auto" w:fill="auto"/>
            <w:noWrap/>
            <w:vAlign w:val="center"/>
            <w:hideMark/>
          </w:tcPr>
          <w:p w14:paraId="4A94508C" w14:textId="38EE5AAF"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36E2E7C5" w14:textId="172D1FE1"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39E25366" w14:textId="71C6B3C0"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216</w:t>
            </w:r>
            <w:r w:rsidRPr="002C3397">
              <w:rPr>
                <w:rFonts w:ascii="Arial" w:eastAsia="等线" w:hAnsi="Arial" w:cs="Arial"/>
                <w:noProof/>
                <w:color w:val="000000"/>
                <w:kern w:val="0"/>
                <w:szCs w:val="21"/>
              </w:rPr>
              <w:t>]</w:t>
            </w:r>
          </w:p>
        </w:tc>
      </w:tr>
      <w:tr w:rsidR="00916F45" w:rsidRPr="002C3397" w14:paraId="0DEC50D8"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1609636A" w14:textId="057FBEFD"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ENSMUSG00000018916</w:t>
            </w:r>
          </w:p>
        </w:tc>
        <w:tc>
          <w:tcPr>
            <w:tcW w:w="916" w:type="pct"/>
            <w:gridSpan w:val="2"/>
            <w:tcBorders>
              <w:top w:val="nil"/>
              <w:left w:val="nil"/>
              <w:bottom w:val="nil"/>
              <w:right w:val="nil"/>
            </w:tcBorders>
            <w:shd w:val="clear" w:color="auto" w:fill="auto"/>
            <w:noWrap/>
            <w:vAlign w:val="center"/>
            <w:hideMark/>
          </w:tcPr>
          <w:p w14:paraId="013787F8" w14:textId="619E474D"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Csf2</w:t>
            </w:r>
          </w:p>
        </w:tc>
        <w:tc>
          <w:tcPr>
            <w:tcW w:w="1169" w:type="pct"/>
            <w:tcBorders>
              <w:top w:val="nil"/>
              <w:left w:val="nil"/>
              <w:bottom w:val="nil"/>
              <w:right w:val="nil"/>
            </w:tcBorders>
            <w:shd w:val="clear" w:color="auto" w:fill="auto"/>
            <w:noWrap/>
            <w:vAlign w:val="center"/>
            <w:hideMark/>
          </w:tcPr>
          <w:p w14:paraId="4A67D9E2" w14:textId="0B7BC6F4"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-3.237 </w:t>
            </w:r>
          </w:p>
        </w:tc>
        <w:tc>
          <w:tcPr>
            <w:tcW w:w="500" w:type="pct"/>
            <w:tcBorders>
              <w:top w:val="nil"/>
              <w:left w:val="nil"/>
              <w:bottom w:val="nil"/>
              <w:right w:val="nil"/>
            </w:tcBorders>
            <w:shd w:val="clear" w:color="auto" w:fill="auto"/>
            <w:noWrap/>
            <w:vAlign w:val="center"/>
            <w:hideMark/>
          </w:tcPr>
          <w:p w14:paraId="0D1E9410" w14:textId="6A2C68EC"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6922EA66" w14:textId="66B4DFAD"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7B873AEB" w14:textId="418443E3"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217</w:t>
            </w:r>
            <w:r w:rsidRPr="002C3397">
              <w:rPr>
                <w:rFonts w:ascii="Arial" w:eastAsia="等线" w:hAnsi="Arial" w:cs="Arial"/>
                <w:noProof/>
                <w:color w:val="000000"/>
                <w:kern w:val="0"/>
                <w:szCs w:val="21"/>
              </w:rPr>
              <w:t>]</w:t>
            </w:r>
          </w:p>
        </w:tc>
      </w:tr>
      <w:tr w:rsidR="00916F45" w:rsidRPr="002C3397" w14:paraId="2E771902"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3DE63188" w14:textId="4C01602A"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ENSMUSG00000022683</w:t>
            </w:r>
          </w:p>
        </w:tc>
        <w:tc>
          <w:tcPr>
            <w:tcW w:w="916" w:type="pct"/>
            <w:gridSpan w:val="2"/>
            <w:tcBorders>
              <w:top w:val="nil"/>
              <w:left w:val="nil"/>
              <w:bottom w:val="nil"/>
              <w:right w:val="nil"/>
            </w:tcBorders>
            <w:shd w:val="clear" w:color="auto" w:fill="auto"/>
            <w:noWrap/>
            <w:vAlign w:val="center"/>
            <w:hideMark/>
          </w:tcPr>
          <w:p w14:paraId="4306F7B0" w14:textId="181B9168"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Pla2g10</w:t>
            </w:r>
          </w:p>
        </w:tc>
        <w:tc>
          <w:tcPr>
            <w:tcW w:w="1169" w:type="pct"/>
            <w:tcBorders>
              <w:top w:val="nil"/>
              <w:left w:val="nil"/>
              <w:bottom w:val="nil"/>
              <w:right w:val="nil"/>
            </w:tcBorders>
            <w:shd w:val="clear" w:color="auto" w:fill="auto"/>
            <w:noWrap/>
            <w:vAlign w:val="center"/>
            <w:hideMark/>
          </w:tcPr>
          <w:p w14:paraId="7D58E723" w14:textId="1DD3D46D"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2.815 </w:t>
            </w:r>
          </w:p>
        </w:tc>
        <w:tc>
          <w:tcPr>
            <w:tcW w:w="500" w:type="pct"/>
            <w:tcBorders>
              <w:top w:val="nil"/>
              <w:left w:val="nil"/>
              <w:bottom w:val="nil"/>
              <w:right w:val="nil"/>
            </w:tcBorders>
            <w:shd w:val="clear" w:color="auto" w:fill="auto"/>
            <w:noWrap/>
            <w:vAlign w:val="center"/>
            <w:hideMark/>
          </w:tcPr>
          <w:p w14:paraId="56A81F80" w14:textId="426AB9AC"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0ACD6006" w14:textId="2C4FD6AB"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03E97696" w14:textId="377BC34B"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218</w:t>
            </w:r>
            <w:r w:rsidRPr="002C3397">
              <w:rPr>
                <w:rFonts w:ascii="Arial" w:eastAsia="等线" w:hAnsi="Arial" w:cs="Arial"/>
                <w:noProof/>
                <w:color w:val="000000"/>
                <w:kern w:val="0"/>
                <w:szCs w:val="21"/>
              </w:rPr>
              <w:t>]</w:t>
            </w:r>
          </w:p>
        </w:tc>
      </w:tr>
      <w:tr w:rsidR="00916F45" w:rsidRPr="002C3397" w14:paraId="13EC43AB"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2A072444" w14:textId="132DB149"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ENSMUSG00000003665</w:t>
            </w:r>
          </w:p>
        </w:tc>
        <w:tc>
          <w:tcPr>
            <w:tcW w:w="916" w:type="pct"/>
            <w:gridSpan w:val="2"/>
            <w:tcBorders>
              <w:top w:val="nil"/>
              <w:left w:val="nil"/>
              <w:bottom w:val="nil"/>
              <w:right w:val="nil"/>
            </w:tcBorders>
            <w:shd w:val="clear" w:color="auto" w:fill="auto"/>
            <w:noWrap/>
            <w:vAlign w:val="center"/>
            <w:hideMark/>
          </w:tcPr>
          <w:p w14:paraId="6F070391" w14:textId="4E8DF80D"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Has1</w:t>
            </w:r>
          </w:p>
        </w:tc>
        <w:tc>
          <w:tcPr>
            <w:tcW w:w="1169" w:type="pct"/>
            <w:tcBorders>
              <w:top w:val="nil"/>
              <w:left w:val="nil"/>
              <w:bottom w:val="nil"/>
              <w:right w:val="nil"/>
            </w:tcBorders>
            <w:shd w:val="clear" w:color="auto" w:fill="auto"/>
            <w:noWrap/>
            <w:vAlign w:val="center"/>
            <w:hideMark/>
          </w:tcPr>
          <w:p w14:paraId="7B20BAB9" w14:textId="260CC8FD"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3.300 </w:t>
            </w:r>
          </w:p>
        </w:tc>
        <w:tc>
          <w:tcPr>
            <w:tcW w:w="500" w:type="pct"/>
            <w:tcBorders>
              <w:top w:val="nil"/>
              <w:left w:val="nil"/>
              <w:bottom w:val="nil"/>
              <w:right w:val="nil"/>
            </w:tcBorders>
            <w:shd w:val="clear" w:color="auto" w:fill="auto"/>
            <w:noWrap/>
            <w:vAlign w:val="center"/>
            <w:hideMark/>
          </w:tcPr>
          <w:p w14:paraId="31A83E86" w14:textId="0A12DAE5"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1E736323" w14:textId="712FFD2B"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4BAF01FE" w14:textId="2892F000"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219</w:t>
            </w:r>
            <w:r w:rsidRPr="002C3397">
              <w:rPr>
                <w:rFonts w:ascii="Arial" w:eastAsia="等线" w:hAnsi="Arial" w:cs="Arial"/>
                <w:noProof/>
                <w:color w:val="000000"/>
                <w:kern w:val="0"/>
                <w:szCs w:val="21"/>
              </w:rPr>
              <w:t>]</w:t>
            </w:r>
          </w:p>
        </w:tc>
      </w:tr>
      <w:tr w:rsidR="00916F45" w:rsidRPr="002C3397" w14:paraId="1CF2E353"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69ECBB27" w14:textId="60B60236"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ENSMUSG00000020902</w:t>
            </w:r>
          </w:p>
        </w:tc>
        <w:tc>
          <w:tcPr>
            <w:tcW w:w="916" w:type="pct"/>
            <w:gridSpan w:val="2"/>
            <w:tcBorders>
              <w:top w:val="nil"/>
              <w:left w:val="nil"/>
              <w:bottom w:val="nil"/>
              <w:right w:val="nil"/>
            </w:tcBorders>
            <w:shd w:val="clear" w:color="auto" w:fill="auto"/>
            <w:noWrap/>
            <w:vAlign w:val="center"/>
            <w:hideMark/>
          </w:tcPr>
          <w:p w14:paraId="39D4C4AC" w14:textId="5D4E31BB"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Ntn1</w:t>
            </w:r>
          </w:p>
        </w:tc>
        <w:tc>
          <w:tcPr>
            <w:tcW w:w="1169" w:type="pct"/>
            <w:tcBorders>
              <w:top w:val="nil"/>
              <w:left w:val="nil"/>
              <w:bottom w:val="nil"/>
              <w:right w:val="nil"/>
            </w:tcBorders>
            <w:shd w:val="clear" w:color="auto" w:fill="auto"/>
            <w:noWrap/>
            <w:vAlign w:val="center"/>
            <w:hideMark/>
          </w:tcPr>
          <w:p w14:paraId="3289DDD7" w14:textId="16F98ABB"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2.830 </w:t>
            </w:r>
          </w:p>
        </w:tc>
        <w:tc>
          <w:tcPr>
            <w:tcW w:w="500" w:type="pct"/>
            <w:tcBorders>
              <w:top w:val="nil"/>
              <w:left w:val="nil"/>
              <w:bottom w:val="nil"/>
              <w:right w:val="nil"/>
            </w:tcBorders>
            <w:shd w:val="clear" w:color="auto" w:fill="auto"/>
            <w:noWrap/>
            <w:vAlign w:val="center"/>
            <w:hideMark/>
          </w:tcPr>
          <w:p w14:paraId="6E105566" w14:textId="42D352C9"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03A91129" w14:textId="04823E6D"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080402FA" w14:textId="0308CDB3"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220</w:t>
            </w:r>
            <w:r w:rsidRPr="002C3397">
              <w:rPr>
                <w:rFonts w:ascii="Arial" w:eastAsia="等线" w:hAnsi="Arial" w:cs="Arial"/>
                <w:noProof/>
                <w:color w:val="000000"/>
                <w:kern w:val="0"/>
                <w:szCs w:val="21"/>
              </w:rPr>
              <w:t>]</w:t>
            </w:r>
          </w:p>
        </w:tc>
      </w:tr>
      <w:tr w:rsidR="00916F45" w:rsidRPr="002C3397" w14:paraId="30877383"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2D07AAF7" w14:textId="36347202"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ENSMUSG00000029530</w:t>
            </w:r>
          </w:p>
        </w:tc>
        <w:tc>
          <w:tcPr>
            <w:tcW w:w="916" w:type="pct"/>
            <w:gridSpan w:val="2"/>
            <w:tcBorders>
              <w:top w:val="nil"/>
              <w:left w:val="nil"/>
              <w:bottom w:val="nil"/>
              <w:right w:val="nil"/>
            </w:tcBorders>
            <w:shd w:val="clear" w:color="auto" w:fill="auto"/>
            <w:noWrap/>
            <w:vAlign w:val="center"/>
            <w:hideMark/>
          </w:tcPr>
          <w:p w14:paraId="1A3687F8" w14:textId="37AB5EEF"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Ccr9</w:t>
            </w:r>
          </w:p>
        </w:tc>
        <w:tc>
          <w:tcPr>
            <w:tcW w:w="1169" w:type="pct"/>
            <w:tcBorders>
              <w:top w:val="nil"/>
              <w:left w:val="nil"/>
              <w:bottom w:val="nil"/>
              <w:right w:val="nil"/>
            </w:tcBorders>
            <w:shd w:val="clear" w:color="auto" w:fill="auto"/>
            <w:noWrap/>
            <w:vAlign w:val="center"/>
            <w:hideMark/>
          </w:tcPr>
          <w:p w14:paraId="390AFE73" w14:textId="11CC1261"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2.000 </w:t>
            </w:r>
          </w:p>
        </w:tc>
        <w:tc>
          <w:tcPr>
            <w:tcW w:w="500" w:type="pct"/>
            <w:tcBorders>
              <w:top w:val="nil"/>
              <w:left w:val="nil"/>
              <w:bottom w:val="nil"/>
              <w:right w:val="nil"/>
            </w:tcBorders>
            <w:shd w:val="clear" w:color="auto" w:fill="auto"/>
            <w:noWrap/>
            <w:vAlign w:val="center"/>
            <w:hideMark/>
          </w:tcPr>
          <w:p w14:paraId="75D054F2" w14:textId="122B0D1E"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5457B994" w14:textId="3E5D45D7"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447751BC" w14:textId="16427D5F"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221</w:t>
            </w:r>
            <w:r w:rsidRPr="002C3397">
              <w:rPr>
                <w:rFonts w:ascii="Arial" w:eastAsia="等线" w:hAnsi="Arial" w:cs="Arial"/>
                <w:noProof/>
                <w:color w:val="000000"/>
                <w:kern w:val="0"/>
                <w:szCs w:val="21"/>
              </w:rPr>
              <w:t>]</w:t>
            </w:r>
          </w:p>
        </w:tc>
      </w:tr>
      <w:tr w:rsidR="00916F45" w:rsidRPr="002C3397" w14:paraId="4562CCE4"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576736BD" w14:textId="76F809F7" w:rsidR="00916F45" w:rsidRPr="002C3397" w:rsidRDefault="00916F45" w:rsidP="00916F45">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ENSMUSG00000057530</w:t>
            </w:r>
          </w:p>
        </w:tc>
        <w:tc>
          <w:tcPr>
            <w:tcW w:w="916" w:type="pct"/>
            <w:gridSpan w:val="2"/>
            <w:tcBorders>
              <w:top w:val="nil"/>
              <w:left w:val="nil"/>
              <w:bottom w:val="nil"/>
              <w:right w:val="nil"/>
            </w:tcBorders>
            <w:shd w:val="clear" w:color="auto" w:fill="auto"/>
            <w:noWrap/>
            <w:vAlign w:val="center"/>
            <w:hideMark/>
          </w:tcPr>
          <w:p w14:paraId="2DABDBCF" w14:textId="26A2110A" w:rsidR="00916F45" w:rsidRPr="002C3397" w:rsidRDefault="00916F45" w:rsidP="00916F45">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Ece1</w:t>
            </w:r>
          </w:p>
        </w:tc>
        <w:tc>
          <w:tcPr>
            <w:tcW w:w="1169" w:type="pct"/>
            <w:tcBorders>
              <w:top w:val="nil"/>
              <w:left w:val="nil"/>
              <w:bottom w:val="nil"/>
              <w:right w:val="nil"/>
            </w:tcBorders>
            <w:shd w:val="clear" w:color="auto" w:fill="auto"/>
            <w:noWrap/>
            <w:vAlign w:val="center"/>
            <w:hideMark/>
          </w:tcPr>
          <w:p w14:paraId="351C644C" w14:textId="38B42005"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-2.578 </w:t>
            </w:r>
          </w:p>
        </w:tc>
        <w:tc>
          <w:tcPr>
            <w:tcW w:w="500" w:type="pct"/>
            <w:tcBorders>
              <w:top w:val="nil"/>
              <w:left w:val="nil"/>
              <w:bottom w:val="nil"/>
              <w:right w:val="nil"/>
            </w:tcBorders>
            <w:shd w:val="clear" w:color="auto" w:fill="auto"/>
            <w:noWrap/>
            <w:vAlign w:val="center"/>
            <w:hideMark/>
          </w:tcPr>
          <w:p w14:paraId="1D40981F" w14:textId="562FC450"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52188EF0" w14:textId="4F5EC3E1" w:rsidR="00916F45" w:rsidRPr="002C3397" w:rsidRDefault="00916F45" w:rsidP="00916F45">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13307770" w14:textId="339CAB17" w:rsidR="00916F45" w:rsidRPr="002C3397" w:rsidRDefault="00F97F04" w:rsidP="00916F4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222</w:t>
            </w:r>
            <w:r w:rsidRPr="002C3397">
              <w:rPr>
                <w:rFonts w:ascii="Arial" w:eastAsia="等线" w:hAnsi="Arial" w:cs="Arial"/>
                <w:noProof/>
                <w:color w:val="000000"/>
                <w:kern w:val="0"/>
                <w:szCs w:val="21"/>
              </w:rPr>
              <w:t>]</w:t>
            </w:r>
          </w:p>
        </w:tc>
      </w:tr>
      <w:tr w:rsidR="00E551DE" w:rsidRPr="002C3397" w14:paraId="5F47B368" w14:textId="77777777" w:rsidTr="003075F3">
        <w:trPr>
          <w:trHeight w:val="310"/>
        </w:trPr>
        <w:tc>
          <w:tcPr>
            <w:tcW w:w="915" w:type="pct"/>
            <w:gridSpan w:val="2"/>
            <w:tcBorders>
              <w:top w:val="nil"/>
              <w:left w:val="nil"/>
              <w:bottom w:val="nil"/>
              <w:right w:val="nil"/>
            </w:tcBorders>
            <w:shd w:val="clear" w:color="auto" w:fill="auto"/>
            <w:noWrap/>
            <w:vAlign w:val="center"/>
          </w:tcPr>
          <w:p w14:paraId="29A1CF7D" w14:textId="6B0DFACC" w:rsidR="00E551DE" w:rsidRPr="002C3397" w:rsidRDefault="00B408F4" w:rsidP="00A176B5">
            <w:pPr>
              <w:widowControl/>
              <w:jc w:val="left"/>
              <w:rPr>
                <w:rFonts w:ascii="Arial" w:eastAsia="等线" w:hAnsi="Arial" w:cs="Arial"/>
                <w:color w:val="000000"/>
                <w:szCs w:val="21"/>
              </w:rPr>
            </w:pPr>
            <w:r w:rsidRPr="002C3397">
              <w:rPr>
                <w:rFonts w:ascii="Arial" w:eastAsia="等线" w:hAnsi="Arial" w:cs="Arial"/>
                <w:color w:val="000000"/>
                <w:szCs w:val="21"/>
              </w:rPr>
              <w:t>ENSMUSG00000002996</w:t>
            </w:r>
          </w:p>
        </w:tc>
        <w:tc>
          <w:tcPr>
            <w:tcW w:w="916" w:type="pct"/>
            <w:gridSpan w:val="2"/>
            <w:tcBorders>
              <w:top w:val="nil"/>
              <w:left w:val="nil"/>
              <w:bottom w:val="nil"/>
              <w:right w:val="nil"/>
            </w:tcBorders>
            <w:shd w:val="clear" w:color="auto" w:fill="auto"/>
            <w:noWrap/>
            <w:vAlign w:val="center"/>
          </w:tcPr>
          <w:p w14:paraId="3FA1B9F1" w14:textId="4D3132FB" w:rsidR="00E551DE" w:rsidRPr="002C3397" w:rsidRDefault="00B408F4" w:rsidP="00A176B5">
            <w:pPr>
              <w:widowControl/>
              <w:jc w:val="center"/>
              <w:rPr>
                <w:rFonts w:ascii="Arial" w:eastAsia="等线" w:hAnsi="Arial" w:cs="Arial"/>
                <w:i/>
                <w:iCs/>
                <w:color w:val="000000"/>
                <w:szCs w:val="21"/>
              </w:rPr>
            </w:pPr>
            <w:r w:rsidRPr="002C3397">
              <w:rPr>
                <w:rFonts w:ascii="Arial" w:eastAsia="等线" w:hAnsi="Arial" w:cs="Arial"/>
                <w:i/>
                <w:iCs/>
                <w:color w:val="000000"/>
                <w:szCs w:val="21"/>
              </w:rPr>
              <w:t>Hbp1</w:t>
            </w:r>
          </w:p>
        </w:tc>
        <w:tc>
          <w:tcPr>
            <w:tcW w:w="1169" w:type="pct"/>
            <w:tcBorders>
              <w:top w:val="nil"/>
              <w:left w:val="nil"/>
              <w:bottom w:val="nil"/>
              <w:right w:val="nil"/>
            </w:tcBorders>
            <w:shd w:val="clear" w:color="auto" w:fill="auto"/>
            <w:noWrap/>
            <w:vAlign w:val="center"/>
          </w:tcPr>
          <w:p w14:paraId="3A6720A0" w14:textId="200BE1B3" w:rsidR="00E551DE" w:rsidRPr="002C3397" w:rsidRDefault="00B408F4" w:rsidP="00A176B5">
            <w:pPr>
              <w:widowControl/>
              <w:jc w:val="center"/>
              <w:rPr>
                <w:rFonts w:ascii="Arial" w:eastAsia="等线" w:hAnsi="Arial" w:cs="Arial"/>
                <w:color w:val="000000"/>
                <w:szCs w:val="21"/>
              </w:rPr>
            </w:pPr>
            <w:r w:rsidRPr="002C3397">
              <w:rPr>
                <w:rFonts w:ascii="Arial" w:eastAsia="等线" w:hAnsi="Arial" w:cs="Arial"/>
                <w:color w:val="000000"/>
                <w:szCs w:val="21"/>
              </w:rPr>
              <w:t>2.218</w:t>
            </w:r>
          </w:p>
        </w:tc>
        <w:tc>
          <w:tcPr>
            <w:tcW w:w="500" w:type="pct"/>
            <w:tcBorders>
              <w:top w:val="nil"/>
              <w:left w:val="nil"/>
              <w:bottom w:val="nil"/>
              <w:right w:val="nil"/>
            </w:tcBorders>
            <w:shd w:val="clear" w:color="auto" w:fill="auto"/>
            <w:noWrap/>
            <w:vAlign w:val="center"/>
          </w:tcPr>
          <w:p w14:paraId="215B7E4E" w14:textId="4FD7B79B" w:rsidR="00E551DE" w:rsidRPr="002C3397" w:rsidRDefault="00B408F4" w:rsidP="00A176B5">
            <w:pPr>
              <w:widowControl/>
              <w:jc w:val="center"/>
              <w:rPr>
                <w:rFonts w:ascii="Arial" w:eastAsia="等线" w:hAnsi="Arial" w:cs="Arial"/>
                <w:color w:val="000000"/>
                <w:szCs w:val="21"/>
              </w:rPr>
            </w:pPr>
            <w:r w:rsidRPr="002C3397">
              <w:rPr>
                <w:rFonts w:ascii="Arial" w:eastAsia="等线" w:hAnsi="Arial" w:cs="Arial"/>
                <w:color w:val="000000"/>
                <w:szCs w:val="21"/>
              </w:rPr>
              <w:t>0.000</w:t>
            </w:r>
          </w:p>
        </w:tc>
        <w:tc>
          <w:tcPr>
            <w:tcW w:w="500" w:type="pct"/>
            <w:gridSpan w:val="2"/>
            <w:tcBorders>
              <w:top w:val="nil"/>
              <w:left w:val="nil"/>
              <w:bottom w:val="nil"/>
              <w:right w:val="nil"/>
            </w:tcBorders>
            <w:shd w:val="clear" w:color="auto" w:fill="auto"/>
            <w:noWrap/>
            <w:vAlign w:val="center"/>
          </w:tcPr>
          <w:p w14:paraId="4E094A8E" w14:textId="1550827B" w:rsidR="00E551DE" w:rsidRPr="002C3397" w:rsidRDefault="00B408F4" w:rsidP="00A176B5">
            <w:pPr>
              <w:widowControl/>
              <w:jc w:val="center"/>
              <w:rPr>
                <w:rFonts w:ascii="Arial" w:eastAsia="等线" w:hAnsi="Arial" w:cs="Arial"/>
                <w:color w:val="000000"/>
                <w:szCs w:val="21"/>
              </w:rPr>
            </w:pPr>
            <w:r w:rsidRPr="002C3397">
              <w:rPr>
                <w:rFonts w:ascii="Arial" w:eastAsia="等线" w:hAnsi="Arial" w:cs="Arial"/>
                <w:color w:val="000000"/>
                <w:szCs w:val="21"/>
              </w:rPr>
              <w:t>0.000</w:t>
            </w:r>
          </w:p>
        </w:tc>
        <w:tc>
          <w:tcPr>
            <w:tcW w:w="1000" w:type="pct"/>
            <w:tcBorders>
              <w:top w:val="nil"/>
              <w:left w:val="nil"/>
              <w:bottom w:val="nil"/>
              <w:right w:val="nil"/>
            </w:tcBorders>
            <w:shd w:val="clear" w:color="auto" w:fill="auto"/>
            <w:noWrap/>
            <w:vAlign w:val="bottom"/>
          </w:tcPr>
          <w:p w14:paraId="557E09B8" w14:textId="458F2AE7" w:rsidR="00E551DE" w:rsidRPr="002C3397" w:rsidRDefault="00F97F04" w:rsidP="00A176B5">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223</w:t>
            </w:r>
            <w:r w:rsidRPr="002C3397">
              <w:rPr>
                <w:rFonts w:ascii="Arial" w:eastAsia="等线" w:hAnsi="Arial" w:cs="Arial"/>
                <w:noProof/>
                <w:color w:val="000000"/>
                <w:kern w:val="0"/>
                <w:szCs w:val="21"/>
              </w:rPr>
              <w:t>]</w:t>
            </w:r>
          </w:p>
        </w:tc>
      </w:tr>
      <w:tr w:rsidR="008058AA" w:rsidRPr="002C3397" w14:paraId="6ADB9B45" w14:textId="77777777" w:rsidTr="003075F3">
        <w:trPr>
          <w:trHeight w:val="310"/>
        </w:trPr>
        <w:tc>
          <w:tcPr>
            <w:tcW w:w="915" w:type="pct"/>
            <w:gridSpan w:val="2"/>
            <w:tcBorders>
              <w:top w:val="nil"/>
              <w:left w:val="nil"/>
              <w:bottom w:val="nil"/>
              <w:right w:val="nil"/>
            </w:tcBorders>
            <w:shd w:val="clear" w:color="auto" w:fill="auto"/>
            <w:noWrap/>
            <w:vAlign w:val="center"/>
          </w:tcPr>
          <w:p w14:paraId="5CBA7545" w14:textId="34DC5710" w:rsidR="008058AA" w:rsidRPr="002C3397" w:rsidRDefault="008058AA" w:rsidP="008058AA">
            <w:pPr>
              <w:widowControl/>
              <w:jc w:val="left"/>
              <w:rPr>
                <w:rFonts w:ascii="Arial" w:eastAsia="等线" w:hAnsi="Arial" w:cs="Arial"/>
                <w:color w:val="000000"/>
                <w:szCs w:val="21"/>
              </w:rPr>
            </w:pPr>
            <w:r w:rsidRPr="002C3397">
              <w:rPr>
                <w:rFonts w:ascii="Arial" w:eastAsia="等线" w:hAnsi="Arial" w:cs="Arial"/>
                <w:color w:val="000000"/>
                <w:szCs w:val="21"/>
              </w:rPr>
              <w:t>ENSMUSG00000020808</w:t>
            </w:r>
          </w:p>
        </w:tc>
        <w:tc>
          <w:tcPr>
            <w:tcW w:w="916" w:type="pct"/>
            <w:gridSpan w:val="2"/>
            <w:tcBorders>
              <w:top w:val="nil"/>
              <w:left w:val="nil"/>
              <w:bottom w:val="nil"/>
              <w:right w:val="nil"/>
            </w:tcBorders>
            <w:shd w:val="clear" w:color="auto" w:fill="auto"/>
            <w:noWrap/>
            <w:vAlign w:val="center"/>
          </w:tcPr>
          <w:p w14:paraId="7831C5C2" w14:textId="0404D7CF" w:rsidR="008058AA" w:rsidRPr="002C3397" w:rsidRDefault="008058AA" w:rsidP="008058AA">
            <w:pPr>
              <w:widowControl/>
              <w:jc w:val="center"/>
              <w:rPr>
                <w:rFonts w:ascii="Arial" w:eastAsia="等线" w:hAnsi="Arial" w:cs="Arial"/>
                <w:i/>
                <w:iCs/>
                <w:color w:val="000000"/>
                <w:szCs w:val="21"/>
              </w:rPr>
            </w:pPr>
            <w:bookmarkStart w:id="2" w:name="OLE_LINK1"/>
            <w:bookmarkStart w:id="3" w:name="OLE_LINK2"/>
            <w:r w:rsidRPr="002C3397">
              <w:rPr>
                <w:rFonts w:ascii="Arial" w:eastAsia="等线" w:hAnsi="Arial" w:cs="Arial"/>
                <w:i/>
                <w:iCs/>
                <w:color w:val="000000"/>
                <w:szCs w:val="21"/>
              </w:rPr>
              <w:t>Pimreg</w:t>
            </w:r>
            <w:bookmarkEnd w:id="2"/>
            <w:bookmarkEnd w:id="3"/>
          </w:p>
        </w:tc>
        <w:tc>
          <w:tcPr>
            <w:tcW w:w="1169" w:type="pct"/>
            <w:tcBorders>
              <w:top w:val="nil"/>
              <w:left w:val="nil"/>
              <w:bottom w:val="nil"/>
              <w:right w:val="nil"/>
            </w:tcBorders>
            <w:shd w:val="clear" w:color="auto" w:fill="auto"/>
            <w:noWrap/>
            <w:vAlign w:val="center"/>
          </w:tcPr>
          <w:p w14:paraId="287CA0AF" w14:textId="48D7CF41" w:rsidR="008058AA" w:rsidRPr="002C3397" w:rsidRDefault="008058AA" w:rsidP="008058AA">
            <w:pPr>
              <w:widowControl/>
              <w:jc w:val="center"/>
              <w:rPr>
                <w:rFonts w:ascii="Arial" w:eastAsia="等线" w:hAnsi="Arial" w:cs="Arial"/>
                <w:color w:val="000000"/>
                <w:szCs w:val="21"/>
              </w:rPr>
            </w:pPr>
            <w:r w:rsidRPr="002C3397">
              <w:rPr>
                <w:rFonts w:ascii="Arial" w:eastAsia="等线" w:hAnsi="Arial" w:cs="Arial"/>
                <w:color w:val="000000"/>
                <w:szCs w:val="21"/>
              </w:rPr>
              <w:t xml:space="preserve">-2.363 </w:t>
            </w:r>
          </w:p>
        </w:tc>
        <w:tc>
          <w:tcPr>
            <w:tcW w:w="500" w:type="pct"/>
            <w:tcBorders>
              <w:top w:val="nil"/>
              <w:left w:val="nil"/>
              <w:bottom w:val="nil"/>
              <w:right w:val="nil"/>
            </w:tcBorders>
            <w:shd w:val="clear" w:color="auto" w:fill="auto"/>
            <w:noWrap/>
            <w:vAlign w:val="center"/>
          </w:tcPr>
          <w:p w14:paraId="502D2121" w14:textId="1A36CD27" w:rsidR="008058AA" w:rsidRPr="002C3397" w:rsidRDefault="008058AA" w:rsidP="008058AA">
            <w:pPr>
              <w:widowControl/>
              <w:jc w:val="center"/>
              <w:rPr>
                <w:rFonts w:ascii="Arial" w:eastAsia="等线" w:hAnsi="Arial" w:cs="Arial"/>
                <w:color w:val="00000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tcPr>
          <w:p w14:paraId="6E5CDABC" w14:textId="43691128" w:rsidR="008058AA" w:rsidRPr="002C3397" w:rsidRDefault="008058AA" w:rsidP="008058AA">
            <w:pPr>
              <w:widowControl/>
              <w:jc w:val="center"/>
              <w:rPr>
                <w:rFonts w:ascii="Arial" w:eastAsia="等线" w:hAnsi="Arial" w:cs="Arial"/>
                <w:color w:val="000000"/>
                <w:szCs w:val="21"/>
              </w:rPr>
            </w:pPr>
            <w:r w:rsidRPr="002C3397">
              <w:rPr>
                <w:rFonts w:ascii="Arial" w:eastAsia="等线" w:hAnsi="Arial" w:cs="Arial"/>
                <w:color w:val="000000"/>
                <w:szCs w:val="21"/>
              </w:rPr>
              <w:t>0.000</w:t>
            </w:r>
          </w:p>
        </w:tc>
        <w:tc>
          <w:tcPr>
            <w:tcW w:w="1000" w:type="pct"/>
            <w:tcBorders>
              <w:top w:val="nil"/>
              <w:left w:val="nil"/>
              <w:bottom w:val="nil"/>
              <w:right w:val="nil"/>
            </w:tcBorders>
            <w:shd w:val="clear" w:color="auto" w:fill="auto"/>
            <w:noWrap/>
            <w:vAlign w:val="bottom"/>
          </w:tcPr>
          <w:p w14:paraId="7B403FC6" w14:textId="57A527CB" w:rsidR="008058AA" w:rsidRPr="002C3397" w:rsidRDefault="00F97F04" w:rsidP="008058AA">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224</w:t>
            </w:r>
            <w:r w:rsidRPr="002C3397">
              <w:rPr>
                <w:rFonts w:ascii="Arial" w:eastAsia="等线" w:hAnsi="Arial" w:cs="Arial"/>
                <w:noProof/>
                <w:color w:val="000000"/>
                <w:kern w:val="0"/>
                <w:szCs w:val="21"/>
              </w:rPr>
              <w:t>]</w:t>
            </w:r>
          </w:p>
        </w:tc>
      </w:tr>
      <w:tr w:rsidR="008058AA" w:rsidRPr="002C3397" w14:paraId="3B7EB8B4"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7A5B326C" w14:textId="69A28CAF" w:rsidR="008058AA" w:rsidRPr="002C3397" w:rsidRDefault="008058AA" w:rsidP="008058AA">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ENSMUSG00000042333</w:t>
            </w:r>
          </w:p>
        </w:tc>
        <w:tc>
          <w:tcPr>
            <w:tcW w:w="916" w:type="pct"/>
            <w:gridSpan w:val="2"/>
            <w:tcBorders>
              <w:top w:val="nil"/>
              <w:left w:val="nil"/>
              <w:bottom w:val="nil"/>
              <w:right w:val="nil"/>
            </w:tcBorders>
            <w:shd w:val="clear" w:color="auto" w:fill="auto"/>
            <w:noWrap/>
            <w:vAlign w:val="center"/>
            <w:hideMark/>
          </w:tcPr>
          <w:p w14:paraId="17AA5325" w14:textId="2CDCF302" w:rsidR="008058AA" w:rsidRPr="002C3397" w:rsidRDefault="008058AA" w:rsidP="008058AA">
            <w:pPr>
              <w:widowControl/>
              <w:jc w:val="center"/>
              <w:rPr>
                <w:rFonts w:ascii="Arial" w:eastAsia="等线" w:hAnsi="Arial" w:cs="Arial"/>
                <w:i/>
                <w:iCs/>
                <w:color w:val="000000"/>
                <w:kern w:val="0"/>
                <w:szCs w:val="21"/>
              </w:rPr>
            </w:pPr>
            <w:r w:rsidRPr="002C3397">
              <w:rPr>
                <w:rFonts w:ascii="Arial" w:eastAsia="等线" w:hAnsi="Arial" w:cs="Arial"/>
                <w:i/>
                <w:iCs/>
                <w:color w:val="000000"/>
                <w:kern w:val="0"/>
                <w:szCs w:val="21"/>
              </w:rPr>
              <w:t>Tnfrsf14</w:t>
            </w:r>
          </w:p>
        </w:tc>
        <w:tc>
          <w:tcPr>
            <w:tcW w:w="1169" w:type="pct"/>
            <w:tcBorders>
              <w:top w:val="nil"/>
              <w:left w:val="nil"/>
              <w:bottom w:val="nil"/>
              <w:right w:val="nil"/>
            </w:tcBorders>
            <w:shd w:val="clear" w:color="auto" w:fill="auto"/>
            <w:noWrap/>
            <w:vAlign w:val="center"/>
            <w:hideMark/>
          </w:tcPr>
          <w:p w14:paraId="7C447A4B" w14:textId="0402984E" w:rsidR="008058AA" w:rsidRPr="002C3397" w:rsidRDefault="008058AA" w:rsidP="008058AA">
            <w:pPr>
              <w:widowControl/>
              <w:jc w:val="center"/>
              <w:rPr>
                <w:rFonts w:ascii="Arial" w:eastAsia="等线" w:hAnsi="Arial" w:cs="Arial"/>
                <w:color w:val="000000"/>
                <w:kern w:val="0"/>
                <w:szCs w:val="21"/>
              </w:rPr>
            </w:pPr>
            <w:r w:rsidRPr="002C3397">
              <w:rPr>
                <w:rFonts w:ascii="Arial" w:eastAsia="等线" w:hAnsi="Arial" w:cs="Arial"/>
                <w:color w:val="000000"/>
                <w:szCs w:val="21"/>
              </w:rPr>
              <w:t>-5.594</w:t>
            </w:r>
          </w:p>
        </w:tc>
        <w:tc>
          <w:tcPr>
            <w:tcW w:w="500" w:type="pct"/>
            <w:tcBorders>
              <w:top w:val="nil"/>
              <w:left w:val="nil"/>
              <w:bottom w:val="nil"/>
              <w:right w:val="nil"/>
            </w:tcBorders>
            <w:shd w:val="clear" w:color="auto" w:fill="auto"/>
            <w:noWrap/>
            <w:vAlign w:val="center"/>
            <w:hideMark/>
          </w:tcPr>
          <w:p w14:paraId="6A1496DD" w14:textId="0BC7378C" w:rsidR="008058AA" w:rsidRPr="002C3397" w:rsidRDefault="008058AA" w:rsidP="008058AA">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32EC93CC" w14:textId="510FA6D9" w:rsidR="008058AA" w:rsidRPr="002C3397" w:rsidRDefault="008058AA" w:rsidP="008058AA">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hideMark/>
          </w:tcPr>
          <w:p w14:paraId="38EEC816" w14:textId="4D07CD8C" w:rsidR="008058AA" w:rsidRPr="002C3397" w:rsidRDefault="00F97F04" w:rsidP="008058AA">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225</w:t>
            </w:r>
            <w:r w:rsidRPr="002C3397">
              <w:rPr>
                <w:rFonts w:ascii="Arial" w:eastAsia="等线" w:hAnsi="Arial" w:cs="Arial"/>
                <w:noProof/>
                <w:color w:val="000000"/>
                <w:kern w:val="0"/>
                <w:szCs w:val="21"/>
              </w:rPr>
              <w:t>]</w:t>
            </w:r>
          </w:p>
        </w:tc>
      </w:tr>
      <w:tr w:rsidR="00DA18F9" w:rsidRPr="002C3397" w14:paraId="3037AB5D" w14:textId="77777777" w:rsidTr="003075F3">
        <w:trPr>
          <w:trHeight w:val="310"/>
        </w:trPr>
        <w:tc>
          <w:tcPr>
            <w:tcW w:w="915" w:type="pct"/>
            <w:gridSpan w:val="2"/>
            <w:tcBorders>
              <w:top w:val="nil"/>
              <w:left w:val="nil"/>
              <w:bottom w:val="nil"/>
              <w:right w:val="nil"/>
            </w:tcBorders>
            <w:shd w:val="clear" w:color="auto" w:fill="auto"/>
            <w:noWrap/>
            <w:vAlign w:val="center"/>
          </w:tcPr>
          <w:p w14:paraId="5C5730D0" w14:textId="3E0788B1" w:rsidR="00DA18F9" w:rsidRPr="002C3397" w:rsidRDefault="00DA18F9" w:rsidP="00DA18F9">
            <w:pPr>
              <w:widowControl/>
              <w:jc w:val="left"/>
              <w:rPr>
                <w:rFonts w:ascii="Arial" w:eastAsia="等线" w:hAnsi="Arial" w:cs="Arial"/>
                <w:color w:val="000000"/>
                <w:szCs w:val="21"/>
              </w:rPr>
            </w:pPr>
            <w:r w:rsidRPr="00DA18F9">
              <w:rPr>
                <w:rFonts w:ascii="Arial" w:eastAsia="等线" w:hAnsi="Arial" w:cs="Arial"/>
                <w:color w:val="000000"/>
                <w:szCs w:val="21"/>
              </w:rPr>
              <w:t>ENSMUSG00000026069</w:t>
            </w:r>
          </w:p>
        </w:tc>
        <w:tc>
          <w:tcPr>
            <w:tcW w:w="916" w:type="pct"/>
            <w:gridSpan w:val="2"/>
            <w:tcBorders>
              <w:top w:val="nil"/>
              <w:left w:val="nil"/>
              <w:bottom w:val="nil"/>
              <w:right w:val="nil"/>
            </w:tcBorders>
            <w:shd w:val="clear" w:color="auto" w:fill="auto"/>
            <w:noWrap/>
            <w:vAlign w:val="center"/>
          </w:tcPr>
          <w:p w14:paraId="17F88F08" w14:textId="0A3B223D" w:rsidR="00DA18F9" w:rsidRPr="002C3397" w:rsidRDefault="00DA18F9" w:rsidP="00DA18F9">
            <w:pPr>
              <w:widowControl/>
              <w:jc w:val="center"/>
              <w:rPr>
                <w:rFonts w:ascii="Arial" w:eastAsia="等线" w:hAnsi="Arial" w:cs="Arial"/>
                <w:i/>
                <w:iCs/>
                <w:color w:val="000000"/>
                <w:szCs w:val="21"/>
              </w:rPr>
            </w:pPr>
            <w:r w:rsidRPr="00DA18F9">
              <w:rPr>
                <w:rFonts w:ascii="Arial" w:eastAsia="等线" w:hAnsi="Arial" w:cs="Arial"/>
                <w:i/>
                <w:iCs/>
                <w:color w:val="000000"/>
                <w:szCs w:val="21"/>
              </w:rPr>
              <w:t>Il1rl1</w:t>
            </w:r>
          </w:p>
        </w:tc>
        <w:tc>
          <w:tcPr>
            <w:tcW w:w="1169" w:type="pct"/>
            <w:tcBorders>
              <w:top w:val="nil"/>
              <w:left w:val="nil"/>
              <w:bottom w:val="nil"/>
              <w:right w:val="nil"/>
            </w:tcBorders>
            <w:shd w:val="clear" w:color="auto" w:fill="auto"/>
            <w:noWrap/>
            <w:vAlign w:val="center"/>
          </w:tcPr>
          <w:p w14:paraId="3593D5DC" w14:textId="64D189CF" w:rsidR="00DA18F9" w:rsidRPr="002C3397" w:rsidRDefault="00DA18F9" w:rsidP="00DA18F9">
            <w:pPr>
              <w:widowControl/>
              <w:jc w:val="center"/>
              <w:rPr>
                <w:rFonts w:ascii="Arial" w:eastAsia="等线" w:hAnsi="Arial" w:cs="Arial"/>
                <w:color w:val="000000"/>
                <w:szCs w:val="21"/>
              </w:rPr>
            </w:pPr>
            <w:r w:rsidRPr="00DA18F9">
              <w:rPr>
                <w:rFonts w:ascii="Arial" w:eastAsia="等线" w:hAnsi="Arial" w:cs="Arial"/>
                <w:color w:val="000000"/>
                <w:szCs w:val="21"/>
              </w:rPr>
              <w:t>-2.299</w:t>
            </w:r>
          </w:p>
        </w:tc>
        <w:tc>
          <w:tcPr>
            <w:tcW w:w="500" w:type="pct"/>
            <w:tcBorders>
              <w:top w:val="nil"/>
              <w:left w:val="nil"/>
              <w:bottom w:val="nil"/>
              <w:right w:val="nil"/>
            </w:tcBorders>
            <w:shd w:val="clear" w:color="auto" w:fill="auto"/>
            <w:noWrap/>
            <w:vAlign w:val="center"/>
          </w:tcPr>
          <w:p w14:paraId="03803C5B" w14:textId="0279DD1C" w:rsidR="00DA18F9" w:rsidRPr="002C3397" w:rsidRDefault="00DA18F9" w:rsidP="00DA18F9">
            <w:pPr>
              <w:widowControl/>
              <w:jc w:val="center"/>
              <w:rPr>
                <w:rFonts w:ascii="Arial" w:eastAsia="等线" w:hAnsi="Arial" w:cs="Arial"/>
                <w:color w:val="00000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tcPr>
          <w:p w14:paraId="699823F5" w14:textId="18241F5D" w:rsidR="00DA18F9" w:rsidRPr="002C3397" w:rsidRDefault="00DA18F9" w:rsidP="00DA18F9">
            <w:pPr>
              <w:widowControl/>
              <w:jc w:val="center"/>
              <w:rPr>
                <w:rFonts w:ascii="Arial" w:eastAsia="等线" w:hAnsi="Arial" w:cs="Arial"/>
                <w:color w:val="000000"/>
                <w:szCs w:val="21"/>
              </w:rPr>
            </w:pPr>
            <w:r w:rsidRPr="002C3397">
              <w:rPr>
                <w:rFonts w:ascii="Arial" w:eastAsia="等线" w:hAnsi="Arial" w:cs="Arial"/>
                <w:color w:val="000000"/>
                <w:szCs w:val="21"/>
              </w:rPr>
              <w:t xml:space="preserve">0.000 </w:t>
            </w:r>
          </w:p>
        </w:tc>
        <w:tc>
          <w:tcPr>
            <w:tcW w:w="1000" w:type="pct"/>
            <w:tcBorders>
              <w:top w:val="nil"/>
              <w:left w:val="nil"/>
              <w:bottom w:val="nil"/>
              <w:right w:val="nil"/>
            </w:tcBorders>
            <w:shd w:val="clear" w:color="auto" w:fill="auto"/>
            <w:noWrap/>
            <w:vAlign w:val="bottom"/>
          </w:tcPr>
          <w:p w14:paraId="0CA850FD" w14:textId="4DC988E5" w:rsidR="00DA18F9" w:rsidRPr="002C3397" w:rsidRDefault="00DA18F9" w:rsidP="00DA18F9">
            <w:pPr>
              <w:widowControl/>
              <w:jc w:val="center"/>
              <w:rPr>
                <w:rFonts w:ascii="Arial" w:eastAsia="等线" w:hAnsi="Arial" w:cs="Arial"/>
                <w:color w:val="000000"/>
                <w:kern w:val="0"/>
                <w:szCs w:val="21"/>
              </w:rPr>
            </w:pPr>
            <w:r>
              <w:rPr>
                <w:rFonts w:ascii="Arial" w:eastAsia="等线" w:hAnsi="Arial" w:cs="Arial"/>
                <w:noProof/>
                <w:color w:val="000000"/>
                <w:kern w:val="0"/>
                <w:szCs w:val="21"/>
              </w:rPr>
              <w:t>[</w:t>
            </w:r>
            <w:r w:rsidR="00F05D34">
              <w:rPr>
                <w:rFonts w:ascii="Arial" w:eastAsia="等线" w:hAnsi="Arial" w:cs="Arial"/>
                <w:noProof/>
                <w:color w:val="000000"/>
                <w:kern w:val="0"/>
                <w:szCs w:val="21"/>
              </w:rPr>
              <w:t>226</w:t>
            </w:r>
            <w:r>
              <w:rPr>
                <w:rFonts w:ascii="Arial" w:eastAsia="等线" w:hAnsi="Arial" w:cs="Arial"/>
                <w:noProof/>
                <w:color w:val="000000"/>
                <w:kern w:val="0"/>
                <w:szCs w:val="21"/>
              </w:rPr>
              <w:t>]</w:t>
            </w:r>
          </w:p>
        </w:tc>
      </w:tr>
      <w:tr w:rsidR="00DA18F9" w:rsidRPr="002C3397" w14:paraId="371EFEAC" w14:textId="77777777" w:rsidTr="003075F3">
        <w:trPr>
          <w:trHeight w:val="310"/>
        </w:trPr>
        <w:tc>
          <w:tcPr>
            <w:tcW w:w="915" w:type="pct"/>
            <w:gridSpan w:val="2"/>
            <w:tcBorders>
              <w:top w:val="nil"/>
              <w:left w:val="nil"/>
              <w:bottom w:val="nil"/>
              <w:right w:val="nil"/>
            </w:tcBorders>
            <w:shd w:val="clear" w:color="auto" w:fill="auto"/>
            <w:noWrap/>
            <w:vAlign w:val="center"/>
          </w:tcPr>
          <w:p w14:paraId="1052E526" w14:textId="06D4FEF8" w:rsidR="00DA18F9" w:rsidRPr="002C3397" w:rsidRDefault="00DA18F9" w:rsidP="00DA18F9">
            <w:pPr>
              <w:widowControl/>
              <w:jc w:val="left"/>
              <w:rPr>
                <w:rFonts w:ascii="Arial" w:eastAsia="等线" w:hAnsi="Arial" w:cs="Arial"/>
                <w:color w:val="000000"/>
                <w:szCs w:val="21"/>
              </w:rPr>
            </w:pPr>
            <w:r w:rsidRPr="002C3397">
              <w:rPr>
                <w:rFonts w:ascii="Arial" w:eastAsia="等线" w:hAnsi="Arial" w:cs="Arial"/>
                <w:color w:val="000000"/>
                <w:szCs w:val="21"/>
              </w:rPr>
              <w:t>ENSMUSG00000035448</w:t>
            </w:r>
          </w:p>
        </w:tc>
        <w:tc>
          <w:tcPr>
            <w:tcW w:w="916" w:type="pct"/>
            <w:gridSpan w:val="2"/>
            <w:tcBorders>
              <w:top w:val="nil"/>
              <w:left w:val="nil"/>
              <w:bottom w:val="nil"/>
              <w:right w:val="nil"/>
            </w:tcBorders>
            <w:shd w:val="clear" w:color="auto" w:fill="auto"/>
            <w:noWrap/>
            <w:vAlign w:val="center"/>
          </w:tcPr>
          <w:p w14:paraId="572D8E43" w14:textId="1259A54F" w:rsidR="00DA18F9" w:rsidRPr="002C3397" w:rsidRDefault="00DA18F9" w:rsidP="00DA18F9">
            <w:pPr>
              <w:widowControl/>
              <w:jc w:val="center"/>
              <w:rPr>
                <w:rFonts w:ascii="Arial" w:eastAsia="等线" w:hAnsi="Arial" w:cs="Arial"/>
                <w:i/>
                <w:iCs/>
                <w:color w:val="000000"/>
                <w:szCs w:val="21"/>
              </w:rPr>
            </w:pPr>
            <w:r w:rsidRPr="002C3397">
              <w:rPr>
                <w:rFonts w:ascii="Arial" w:eastAsia="等线" w:hAnsi="Arial" w:cs="Arial"/>
                <w:i/>
                <w:iCs/>
                <w:color w:val="000000"/>
                <w:szCs w:val="21"/>
              </w:rPr>
              <w:t>Ccr3</w:t>
            </w:r>
          </w:p>
        </w:tc>
        <w:tc>
          <w:tcPr>
            <w:tcW w:w="1169" w:type="pct"/>
            <w:tcBorders>
              <w:top w:val="nil"/>
              <w:left w:val="nil"/>
              <w:bottom w:val="nil"/>
              <w:right w:val="nil"/>
            </w:tcBorders>
            <w:shd w:val="clear" w:color="auto" w:fill="auto"/>
            <w:noWrap/>
            <w:vAlign w:val="center"/>
          </w:tcPr>
          <w:p w14:paraId="09B787AB" w14:textId="0F8D2EC7" w:rsidR="00DA18F9" w:rsidRPr="002C3397" w:rsidRDefault="00DA18F9" w:rsidP="00DA18F9">
            <w:pPr>
              <w:widowControl/>
              <w:jc w:val="center"/>
              <w:rPr>
                <w:rFonts w:ascii="Arial" w:eastAsia="等线" w:hAnsi="Arial" w:cs="Arial"/>
                <w:color w:val="000000"/>
                <w:szCs w:val="21"/>
              </w:rPr>
            </w:pPr>
            <w:r w:rsidRPr="002C3397">
              <w:rPr>
                <w:rFonts w:ascii="Arial" w:eastAsia="等线" w:hAnsi="Arial" w:cs="Arial"/>
                <w:color w:val="000000"/>
                <w:szCs w:val="21"/>
              </w:rPr>
              <w:t>2.976</w:t>
            </w:r>
          </w:p>
        </w:tc>
        <w:tc>
          <w:tcPr>
            <w:tcW w:w="500" w:type="pct"/>
            <w:tcBorders>
              <w:top w:val="nil"/>
              <w:left w:val="nil"/>
              <w:bottom w:val="nil"/>
              <w:right w:val="nil"/>
            </w:tcBorders>
            <w:shd w:val="clear" w:color="auto" w:fill="auto"/>
            <w:noWrap/>
            <w:vAlign w:val="center"/>
          </w:tcPr>
          <w:p w14:paraId="60DC711A" w14:textId="7DEC235D" w:rsidR="00DA18F9" w:rsidRPr="002C3397" w:rsidRDefault="00DA18F9" w:rsidP="00DA18F9">
            <w:pPr>
              <w:widowControl/>
              <w:jc w:val="center"/>
              <w:rPr>
                <w:rFonts w:ascii="Arial" w:eastAsia="等线" w:hAnsi="Arial" w:cs="Arial"/>
                <w:color w:val="000000"/>
                <w:szCs w:val="21"/>
              </w:rPr>
            </w:pPr>
            <w:r w:rsidRPr="002C3397">
              <w:rPr>
                <w:rFonts w:ascii="Arial" w:eastAsia="等线" w:hAnsi="Arial" w:cs="Arial"/>
                <w:color w:val="000000"/>
                <w:szCs w:val="21"/>
              </w:rPr>
              <w:t>0.000</w:t>
            </w:r>
          </w:p>
        </w:tc>
        <w:tc>
          <w:tcPr>
            <w:tcW w:w="500" w:type="pct"/>
            <w:gridSpan w:val="2"/>
            <w:tcBorders>
              <w:top w:val="nil"/>
              <w:left w:val="nil"/>
              <w:bottom w:val="nil"/>
              <w:right w:val="nil"/>
            </w:tcBorders>
            <w:shd w:val="clear" w:color="auto" w:fill="auto"/>
            <w:noWrap/>
            <w:vAlign w:val="center"/>
          </w:tcPr>
          <w:p w14:paraId="03EBE550" w14:textId="6715A377" w:rsidR="00DA18F9" w:rsidRPr="002C3397" w:rsidRDefault="00DA18F9" w:rsidP="00DA18F9">
            <w:pPr>
              <w:widowControl/>
              <w:jc w:val="center"/>
              <w:rPr>
                <w:rFonts w:ascii="Arial" w:eastAsia="等线" w:hAnsi="Arial" w:cs="Arial"/>
                <w:color w:val="000000"/>
                <w:szCs w:val="21"/>
              </w:rPr>
            </w:pPr>
            <w:r w:rsidRPr="002C3397">
              <w:rPr>
                <w:rFonts w:ascii="Arial" w:eastAsia="等线" w:hAnsi="Arial" w:cs="Arial"/>
                <w:color w:val="000000"/>
                <w:szCs w:val="21"/>
              </w:rPr>
              <w:t>0.001</w:t>
            </w:r>
          </w:p>
        </w:tc>
        <w:tc>
          <w:tcPr>
            <w:tcW w:w="1000" w:type="pct"/>
            <w:tcBorders>
              <w:top w:val="nil"/>
              <w:left w:val="nil"/>
              <w:bottom w:val="nil"/>
              <w:right w:val="nil"/>
            </w:tcBorders>
            <w:shd w:val="clear" w:color="auto" w:fill="auto"/>
            <w:noWrap/>
            <w:vAlign w:val="bottom"/>
          </w:tcPr>
          <w:p w14:paraId="0BC8F300" w14:textId="642F2073" w:rsidR="00DA18F9" w:rsidRPr="002C3397" w:rsidRDefault="00DA18F9" w:rsidP="00DA18F9">
            <w:pPr>
              <w:widowControl/>
              <w:jc w:val="center"/>
              <w:rPr>
                <w:rFonts w:ascii="Arial" w:eastAsia="等线" w:hAnsi="Arial" w:cs="Arial"/>
                <w:color w:val="000000"/>
                <w:kern w:val="0"/>
                <w:szCs w:val="21"/>
              </w:rPr>
            </w:pPr>
            <w:r>
              <w:rPr>
                <w:rFonts w:ascii="Arial" w:eastAsia="等线" w:hAnsi="Arial" w:cs="Arial"/>
                <w:noProof/>
                <w:color w:val="000000"/>
                <w:kern w:val="0"/>
                <w:szCs w:val="21"/>
              </w:rPr>
              <w:t>[</w:t>
            </w:r>
            <w:r w:rsidR="00F05D34">
              <w:rPr>
                <w:rFonts w:ascii="Arial" w:eastAsia="等线" w:hAnsi="Arial" w:cs="Arial"/>
                <w:noProof/>
                <w:color w:val="000000"/>
                <w:kern w:val="0"/>
                <w:szCs w:val="21"/>
              </w:rPr>
              <w:t>227</w:t>
            </w:r>
            <w:r>
              <w:rPr>
                <w:rFonts w:ascii="Arial" w:eastAsia="等线" w:hAnsi="Arial" w:cs="Arial"/>
                <w:noProof/>
                <w:color w:val="000000"/>
                <w:kern w:val="0"/>
                <w:szCs w:val="21"/>
              </w:rPr>
              <w:t>]</w:t>
            </w:r>
          </w:p>
        </w:tc>
      </w:tr>
      <w:tr w:rsidR="00DA18F9" w:rsidRPr="002C3397" w14:paraId="573F2335"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676F7B21" w14:textId="3270AC17" w:rsidR="00DA18F9" w:rsidRPr="002C3397" w:rsidRDefault="00DA18F9" w:rsidP="00DA18F9">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ENSMUSG00000063903</w:t>
            </w:r>
          </w:p>
        </w:tc>
        <w:tc>
          <w:tcPr>
            <w:tcW w:w="916" w:type="pct"/>
            <w:gridSpan w:val="2"/>
            <w:tcBorders>
              <w:top w:val="nil"/>
              <w:left w:val="nil"/>
              <w:bottom w:val="nil"/>
              <w:right w:val="nil"/>
            </w:tcBorders>
            <w:shd w:val="clear" w:color="auto" w:fill="auto"/>
            <w:noWrap/>
            <w:vAlign w:val="center"/>
            <w:hideMark/>
          </w:tcPr>
          <w:p w14:paraId="3AD3956D" w14:textId="74EC8F2D" w:rsidR="00DA18F9" w:rsidRPr="002C3397" w:rsidRDefault="00DA18F9" w:rsidP="00DA18F9">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Klk1</w:t>
            </w:r>
          </w:p>
        </w:tc>
        <w:tc>
          <w:tcPr>
            <w:tcW w:w="1169" w:type="pct"/>
            <w:tcBorders>
              <w:top w:val="nil"/>
              <w:left w:val="nil"/>
              <w:bottom w:val="nil"/>
              <w:right w:val="nil"/>
            </w:tcBorders>
            <w:shd w:val="clear" w:color="auto" w:fill="auto"/>
            <w:noWrap/>
            <w:vAlign w:val="center"/>
            <w:hideMark/>
          </w:tcPr>
          <w:p w14:paraId="62185AC6" w14:textId="02967E19"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5.296 </w:t>
            </w:r>
          </w:p>
        </w:tc>
        <w:tc>
          <w:tcPr>
            <w:tcW w:w="500" w:type="pct"/>
            <w:tcBorders>
              <w:top w:val="nil"/>
              <w:left w:val="nil"/>
              <w:bottom w:val="nil"/>
              <w:right w:val="nil"/>
            </w:tcBorders>
            <w:shd w:val="clear" w:color="auto" w:fill="auto"/>
            <w:noWrap/>
            <w:vAlign w:val="center"/>
            <w:hideMark/>
          </w:tcPr>
          <w:p w14:paraId="5B5F5883" w14:textId="054DC21A"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73D379B8" w14:textId="38B82644"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0.001 </w:t>
            </w:r>
          </w:p>
        </w:tc>
        <w:tc>
          <w:tcPr>
            <w:tcW w:w="1000" w:type="pct"/>
            <w:tcBorders>
              <w:top w:val="nil"/>
              <w:left w:val="nil"/>
              <w:bottom w:val="nil"/>
              <w:right w:val="nil"/>
            </w:tcBorders>
            <w:shd w:val="clear" w:color="auto" w:fill="auto"/>
            <w:noWrap/>
            <w:vAlign w:val="bottom"/>
            <w:hideMark/>
          </w:tcPr>
          <w:p w14:paraId="12F189C6" w14:textId="77C3342E" w:rsidR="00DA18F9" w:rsidRPr="002C3397" w:rsidRDefault="00DA18F9" w:rsidP="00DA18F9">
            <w:pPr>
              <w:widowControl/>
              <w:jc w:val="center"/>
              <w:rPr>
                <w:rFonts w:ascii="Arial" w:eastAsia="等线" w:hAnsi="Arial" w:cs="Arial"/>
                <w:color w:val="000000"/>
                <w:kern w:val="0"/>
                <w:szCs w:val="21"/>
              </w:rPr>
            </w:pPr>
            <w:r>
              <w:rPr>
                <w:rFonts w:ascii="Arial" w:eastAsia="等线" w:hAnsi="Arial" w:cs="Arial"/>
                <w:noProof/>
                <w:color w:val="000000"/>
                <w:kern w:val="0"/>
                <w:szCs w:val="21"/>
              </w:rPr>
              <w:t>[</w:t>
            </w:r>
            <w:r w:rsidR="00F05D34">
              <w:rPr>
                <w:rFonts w:ascii="Arial" w:eastAsia="等线" w:hAnsi="Arial" w:cs="Arial"/>
                <w:noProof/>
                <w:color w:val="000000"/>
                <w:kern w:val="0"/>
                <w:szCs w:val="21"/>
              </w:rPr>
              <w:t>228</w:t>
            </w:r>
            <w:r>
              <w:rPr>
                <w:rFonts w:ascii="Arial" w:eastAsia="等线" w:hAnsi="Arial" w:cs="Arial"/>
                <w:noProof/>
                <w:color w:val="000000"/>
                <w:kern w:val="0"/>
                <w:szCs w:val="21"/>
              </w:rPr>
              <w:t>]</w:t>
            </w:r>
          </w:p>
        </w:tc>
      </w:tr>
      <w:tr w:rsidR="00DA18F9" w:rsidRPr="002C3397" w14:paraId="295F732B"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2C367D86" w14:textId="35245838" w:rsidR="00DA18F9" w:rsidRPr="002C3397" w:rsidRDefault="00DA18F9" w:rsidP="00DA18F9">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ENSMUSG00000028874</w:t>
            </w:r>
          </w:p>
        </w:tc>
        <w:tc>
          <w:tcPr>
            <w:tcW w:w="916" w:type="pct"/>
            <w:gridSpan w:val="2"/>
            <w:tcBorders>
              <w:top w:val="nil"/>
              <w:left w:val="nil"/>
              <w:bottom w:val="nil"/>
              <w:right w:val="nil"/>
            </w:tcBorders>
            <w:shd w:val="clear" w:color="auto" w:fill="auto"/>
            <w:noWrap/>
            <w:vAlign w:val="center"/>
            <w:hideMark/>
          </w:tcPr>
          <w:p w14:paraId="417A4C48" w14:textId="4FC577A4" w:rsidR="00DA18F9" w:rsidRPr="002C3397" w:rsidRDefault="00DA18F9" w:rsidP="00DA18F9">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Fgr</w:t>
            </w:r>
          </w:p>
        </w:tc>
        <w:tc>
          <w:tcPr>
            <w:tcW w:w="1169" w:type="pct"/>
            <w:tcBorders>
              <w:top w:val="nil"/>
              <w:left w:val="nil"/>
              <w:bottom w:val="nil"/>
              <w:right w:val="nil"/>
            </w:tcBorders>
            <w:shd w:val="clear" w:color="auto" w:fill="auto"/>
            <w:noWrap/>
            <w:vAlign w:val="center"/>
            <w:hideMark/>
          </w:tcPr>
          <w:p w14:paraId="0BCD2E64" w14:textId="3C248763"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-2.734 </w:t>
            </w:r>
          </w:p>
        </w:tc>
        <w:tc>
          <w:tcPr>
            <w:tcW w:w="500" w:type="pct"/>
            <w:tcBorders>
              <w:top w:val="nil"/>
              <w:left w:val="nil"/>
              <w:bottom w:val="nil"/>
              <w:right w:val="nil"/>
            </w:tcBorders>
            <w:shd w:val="clear" w:color="auto" w:fill="auto"/>
            <w:noWrap/>
            <w:vAlign w:val="center"/>
            <w:hideMark/>
          </w:tcPr>
          <w:p w14:paraId="597969B3" w14:textId="7645E845"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0.000 </w:t>
            </w:r>
          </w:p>
        </w:tc>
        <w:tc>
          <w:tcPr>
            <w:tcW w:w="500" w:type="pct"/>
            <w:gridSpan w:val="2"/>
            <w:tcBorders>
              <w:top w:val="nil"/>
              <w:left w:val="nil"/>
              <w:bottom w:val="nil"/>
              <w:right w:val="nil"/>
            </w:tcBorders>
            <w:shd w:val="clear" w:color="auto" w:fill="auto"/>
            <w:noWrap/>
            <w:vAlign w:val="center"/>
            <w:hideMark/>
          </w:tcPr>
          <w:p w14:paraId="21D8DAC9" w14:textId="76F2567D"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0.001 </w:t>
            </w:r>
          </w:p>
        </w:tc>
        <w:tc>
          <w:tcPr>
            <w:tcW w:w="1000" w:type="pct"/>
            <w:tcBorders>
              <w:top w:val="nil"/>
              <w:left w:val="nil"/>
              <w:bottom w:val="nil"/>
              <w:right w:val="nil"/>
            </w:tcBorders>
            <w:shd w:val="clear" w:color="auto" w:fill="auto"/>
            <w:noWrap/>
            <w:vAlign w:val="bottom"/>
            <w:hideMark/>
          </w:tcPr>
          <w:p w14:paraId="174E13EF" w14:textId="0EA0EABC" w:rsidR="00DA18F9" w:rsidRPr="002C3397" w:rsidRDefault="00DA18F9" w:rsidP="00DA18F9">
            <w:pPr>
              <w:widowControl/>
              <w:jc w:val="center"/>
              <w:rPr>
                <w:rFonts w:ascii="Arial" w:eastAsia="等线" w:hAnsi="Arial" w:cs="Arial"/>
                <w:color w:val="000000"/>
                <w:kern w:val="0"/>
                <w:szCs w:val="21"/>
              </w:rPr>
            </w:pPr>
            <w:r>
              <w:rPr>
                <w:rFonts w:ascii="Arial" w:eastAsia="等线" w:hAnsi="Arial" w:cs="Arial"/>
                <w:noProof/>
                <w:color w:val="000000"/>
                <w:kern w:val="0"/>
                <w:szCs w:val="21"/>
              </w:rPr>
              <w:t>[</w:t>
            </w:r>
            <w:r w:rsidR="00F05D34">
              <w:rPr>
                <w:rFonts w:ascii="Arial" w:eastAsia="等线" w:hAnsi="Arial" w:cs="Arial"/>
                <w:noProof/>
                <w:color w:val="000000"/>
                <w:kern w:val="0"/>
                <w:szCs w:val="21"/>
              </w:rPr>
              <w:t>229</w:t>
            </w:r>
            <w:r>
              <w:rPr>
                <w:rFonts w:ascii="Arial" w:eastAsia="等线" w:hAnsi="Arial" w:cs="Arial"/>
                <w:noProof/>
                <w:color w:val="000000"/>
                <w:kern w:val="0"/>
                <w:szCs w:val="21"/>
              </w:rPr>
              <w:t>]</w:t>
            </w:r>
          </w:p>
        </w:tc>
      </w:tr>
      <w:tr w:rsidR="00DA18F9" w:rsidRPr="002C3397" w14:paraId="75CEAACC"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4DD20D11" w14:textId="210326E0" w:rsidR="00DA18F9" w:rsidRPr="002C3397" w:rsidRDefault="00DA18F9" w:rsidP="00DA18F9">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ENSMUSG00000050440</w:t>
            </w:r>
          </w:p>
        </w:tc>
        <w:tc>
          <w:tcPr>
            <w:tcW w:w="916" w:type="pct"/>
            <w:gridSpan w:val="2"/>
            <w:tcBorders>
              <w:top w:val="nil"/>
              <w:left w:val="nil"/>
              <w:bottom w:val="nil"/>
              <w:right w:val="nil"/>
            </w:tcBorders>
            <w:shd w:val="clear" w:color="auto" w:fill="auto"/>
            <w:noWrap/>
            <w:vAlign w:val="center"/>
            <w:hideMark/>
          </w:tcPr>
          <w:p w14:paraId="0E4C13DB" w14:textId="71A96638" w:rsidR="00DA18F9" w:rsidRPr="002C3397" w:rsidRDefault="00DA18F9" w:rsidP="00DA18F9">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Hamp</w:t>
            </w:r>
          </w:p>
        </w:tc>
        <w:tc>
          <w:tcPr>
            <w:tcW w:w="1169" w:type="pct"/>
            <w:tcBorders>
              <w:top w:val="nil"/>
              <w:left w:val="nil"/>
              <w:bottom w:val="nil"/>
              <w:right w:val="nil"/>
            </w:tcBorders>
            <w:shd w:val="clear" w:color="auto" w:fill="auto"/>
            <w:noWrap/>
            <w:vAlign w:val="center"/>
            <w:hideMark/>
          </w:tcPr>
          <w:p w14:paraId="17A26166" w14:textId="03E67B07"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3.801 </w:t>
            </w:r>
          </w:p>
        </w:tc>
        <w:tc>
          <w:tcPr>
            <w:tcW w:w="500" w:type="pct"/>
            <w:tcBorders>
              <w:top w:val="nil"/>
              <w:left w:val="nil"/>
              <w:bottom w:val="nil"/>
              <w:right w:val="nil"/>
            </w:tcBorders>
            <w:shd w:val="clear" w:color="auto" w:fill="auto"/>
            <w:noWrap/>
            <w:vAlign w:val="center"/>
            <w:hideMark/>
          </w:tcPr>
          <w:p w14:paraId="4B7F394E" w14:textId="74A8A323"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0.001 </w:t>
            </w:r>
          </w:p>
        </w:tc>
        <w:tc>
          <w:tcPr>
            <w:tcW w:w="500" w:type="pct"/>
            <w:gridSpan w:val="2"/>
            <w:tcBorders>
              <w:top w:val="nil"/>
              <w:left w:val="nil"/>
              <w:bottom w:val="nil"/>
              <w:right w:val="nil"/>
            </w:tcBorders>
            <w:shd w:val="clear" w:color="auto" w:fill="auto"/>
            <w:noWrap/>
            <w:vAlign w:val="center"/>
            <w:hideMark/>
          </w:tcPr>
          <w:p w14:paraId="6AC64877" w14:textId="58960EA4"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0.001 </w:t>
            </w:r>
          </w:p>
        </w:tc>
        <w:tc>
          <w:tcPr>
            <w:tcW w:w="1000" w:type="pct"/>
            <w:tcBorders>
              <w:top w:val="nil"/>
              <w:left w:val="nil"/>
              <w:bottom w:val="nil"/>
              <w:right w:val="nil"/>
            </w:tcBorders>
            <w:shd w:val="clear" w:color="auto" w:fill="auto"/>
            <w:noWrap/>
            <w:vAlign w:val="bottom"/>
            <w:hideMark/>
          </w:tcPr>
          <w:p w14:paraId="53D6E2FB" w14:textId="2D2B0F6F" w:rsidR="00DA18F9" w:rsidRPr="002C3397" w:rsidRDefault="00DA18F9" w:rsidP="00DA18F9">
            <w:pPr>
              <w:widowControl/>
              <w:jc w:val="center"/>
              <w:rPr>
                <w:rFonts w:ascii="Arial" w:eastAsia="等线" w:hAnsi="Arial" w:cs="Arial"/>
                <w:color w:val="000000"/>
                <w:kern w:val="0"/>
                <w:szCs w:val="21"/>
              </w:rPr>
            </w:pPr>
            <w:r>
              <w:rPr>
                <w:rFonts w:ascii="Arial" w:eastAsia="等线" w:hAnsi="Arial" w:cs="Arial"/>
                <w:noProof/>
                <w:color w:val="000000"/>
                <w:kern w:val="0"/>
                <w:szCs w:val="21"/>
              </w:rPr>
              <w:t>[</w:t>
            </w:r>
            <w:r w:rsidR="00F05D34">
              <w:rPr>
                <w:rFonts w:ascii="Arial" w:eastAsia="等线" w:hAnsi="Arial" w:cs="Arial"/>
                <w:noProof/>
                <w:color w:val="000000"/>
                <w:kern w:val="0"/>
                <w:szCs w:val="21"/>
              </w:rPr>
              <w:t>230</w:t>
            </w:r>
            <w:r>
              <w:rPr>
                <w:rFonts w:ascii="Arial" w:eastAsia="等线" w:hAnsi="Arial" w:cs="Arial"/>
                <w:noProof/>
                <w:color w:val="000000"/>
                <w:kern w:val="0"/>
                <w:szCs w:val="21"/>
              </w:rPr>
              <w:t>]</w:t>
            </w:r>
          </w:p>
        </w:tc>
      </w:tr>
      <w:tr w:rsidR="00DA18F9" w:rsidRPr="002C3397" w14:paraId="297FD043"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147B385E" w14:textId="504677CE" w:rsidR="00DA18F9" w:rsidRPr="002C3397" w:rsidRDefault="00DA18F9" w:rsidP="00DA18F9">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ENSMUSG00000040329</w:t>
            </w:r>
          </w:p>
        </w:tc>
        <w:tc>
          <w:tcPr>
            <w:tcW w:w="916" w:type="pct"/>
            <w:gridSpan w:val="2"/>
            <w:tcBorders>
              <w:top w:val="nil"/>
              <w:left w:val="nil"/>
              <w:bottom w:val="nil"/>
              <w:right w:val="nil"/>
            </w:tcBorders>
            <w:shd w:val="clear" w:color="auto" w:fill="auto"/>
            <w:noWrap/>
            <w:vAlign w:val="center"/>
            <w:hideMark/>
          </w:tcPr>
          <w:p w14:paraId="562E231F" w14:textId="510ABD0A" w:rsidR="00DA18F9" w:rsidRPr="002C3397" w:rsidRDefault="00DA18F9" w:rsidP="00DA18F9">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Il7</w:t>
            </w:r>
          </w:p>
        </w:tc>
        <w:tc>
          <w:tcPr>
            <w:tcW w:w="1169" w:type="pct"/>
            <w:tcBorders>
              <w:top w:val="nil"/>
              <w:left w:val="nil"/>
              <w:bottom w:val="nil"/>
              <w:right w:val="nil"/>
            </w:tcBorders>
            <w:shd w:val="clear" w:color="auto" w:fill="auto"/>
            <w:noWrap/>
            <w:vAlign w:val="center"/>
            <w:hideMark/>
          </w:tcPr>
          <w:p w14:paraId="43064636" w14:textId="249C3572"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-2.597 </w:t>
            </w:r>
          </w:p>
        </w:tc>
        <w:tc>
          <w:tcPr>
            <w:tcW w:w="500" w:type="pct"/>
            <w:tcBorders>
              <w:top w:val="nil"/>
              <w:left w:val="nil"/>
              <w:bottom w:val="nil"/>
              <w:right w:val="nil"/>
            </w:tcBorders>
            <w:shd w:val="clear" w:color="auto" w:fill="auto"/>
            <w:noWrap/>
            <w:vAlign w:val="center"/>
            <w:hideMark/>
          </w:tcPr>
          <w:p w14:paraId="62C0594F" w14:textId="02A465E3"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0.001 </w:t>
            </w:r>
          </w:p>
        </w:tc>
        <w:tc>
          <w:tcPr>
            <w:tcW w:w="500" w:type="pct"/>
            <w:gridSpan w:val="2"/>
            <w:tcBorders>
              <w:top w:val="nil"/>
              <w:left w:val="nil"/>
              <w:bottom w:val="nil"/>
              <w:right w:val="nil"/>
            </w:tcBorders>
            <w:shd w:val="clear" w:color="auto" w:fill="auto"/>
            <w:noWrap/>
            <w:vAlign w:val="center"/>
            <w:hideMark/>
          </w:tcPr>
          <w:p w14:paraId="082F27C9" w14:textId="33E6FA88"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0.002 </w:t>
            </w:r>
          </w:p>
        </w:tc>
        <w:tc>
          <w:tcPr>
            <w:tcW w:w="1000" w:type="pct"/>
            <w:tcBorders>
              <w:top w:val="nil"/>
              <w:left w:val="nil"/>
              <w:bottom w:val="nil"/>
              <w:right w:val="nil"/>
            </w:tcBorders>
            <w:shd w:val="clear" w:color="auto" w:fill="auto"/>
            <w:noWrap/>
            <w:vAlign w:val="bottom"/>
            <w:hideMark/>
          </w:tcPr>
          <w:p w14:paraId="1415F5B5" w14:textId="7E49D7BF" w:rsidR="00DA18F9" w:rsidRPr="002C3397" w:rsidRDefault="00DA18F9" w:rsidP="00DA18F9">
            <w:pPr>
              <w:widowControl/>
              <w:jc w:val="center"/>
              <w:rPr>
                <w:rFonts w:ascii="Arial" w:eastAsia="等线" w:hAnsi="Arial" w:cs="Arial"/>
                <w:color w:val="000000"/>
                <w:kern w:val="0"/>
                <w:szCs w:val="21"/>
              </w:rPr>
            </w:pPr>
            <w:r>
              <w:rPr>
                <w:rFonts w:ascii="Arial" w:eastAsia="等线" w:hAnsi="Arial" w:cs="Arial"/>
                <w:noProof/>
                <w:color w:val="000000"/>
                <w:kern w:val="0"/>
                <w:szCs w:val="21"/>
              </w:rPr>
              <w:t>[</w:t>
            </w:r>
            <w:r w:rsidR="00F05D34">
              <w:rPr>
                <w:rFonts w:ascii="Arial" w:eastAsia="等线" w:hAnsi="Arial" w:cs="Arial"/>
                <w:noProof/>
                <w:color w:val="000000"/>
                <w:kern w:val="0"/>
                <w:szCs w:val="21"/>
              </w:rPr>
              <w:t>231</w:t>
            </w:r>
            <w:r>
              <w:rPr>
                <w:rFonts w:ascii="Arial" w:eastAsia="等线" w:hAnsi="Arial" w:cs="Arial"/>
                <w:noProof/>
                <w:color w:val="000000"/>
                <w:kern w:val="0"/>
                <w:szCs w:val="21"/>
              </w:rPr>
              <w:t>]</w:t>
            </w:r>
          </w:p>
        </w:tc>
      </w:tr>
      <w:tr w:rsidR="00DA18F9" w:rsidRPr="002C3397" w14:paraId="3D784E86"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276553F6" w14:textId="31588140" w:rsidR="00DA18F9" w:rsidRPr="002C3397" w:rsidRDefault="00DA18F9" w:rsidP="00DA18F9">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ENSMUSG00000028763</w:t>
            </w:r>
          </w:p>
        </w:tc>
        <w:tc>
          <w:tcPr>
            <w:tcW w:w="916" w:type="pct"/>
            <w:gridSpan w:val="2"/>
            <w:tcBorders>
              <w:top w:val="nil"/>
              <w:left w:val="nil"/>
              <w:bottom w:val="nil"/>
              <w:right w:val="nil"/>
            </w:tcBorders>
            <w:shd w:val="clear" w:color="auto" w:fill="auto"/>
            <w:noWrap/>
            <w:vAlign w:val="center"/>
            <w:hideMark/>
          </w:tcPr>
          <w:p w14:paraId="7552D1FD" w14:textId="1A13ECE9" w:rsidR="00DA18F9" w:rsidRPr="002C3397" w:rsidRDefault="00DA18F9" w:rsidP="00DA18F9">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Hspg2</w:t>
            </w:r>
          </w:p>
        </w:tc>
        <w:tc>
          <w:tcPr>
            <w:tcW w:w="1169" w:type="pct"/>
            <w:tcBorders>
              <w:top w:val="nil"/>
              <w:left w:val="nil"/>
              <w:bottom w:val="nil"/>
              <w:right w:val="nil"/>
            </w:tcBorders>
            <w:shd w:val="clear" w:color="auto" w:fill="auto"/>
            <w:noWrap/>
            <w:vAlign w:val="center"/>
            <w:hideMark/>
          </w:tcPr>
          <w:p w14:paraId="054EDE03" w14:textId="538EFC72"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2.661 </w:t>
            </w:r>
          </w:p>
        </w:tc>
        <w:tc>
          <w:tcPr>
            <w:tcW w:w="500" w:type="pct"/>
            <w:tcBorders>
              <w:top w:val="nil"/>
              <w:left w:val="nil"/>
              <w:bottom w:val="nil"/>
              <w:right w:val="nil"/>
            </w:tcBorders>
            <w:shd w:val="clear" w:color="auto" w:fill="auto"/>
            <w:noWrap/>
            <w:vAlign w:val="center"/>
            <w:hideMark/>
          </w:tcPr>
          <w:p w14:paraId="3DA7B962" w14:textId="15F3FBF6"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0.001 </w:t>
            </w:r>
          </w:p>
        </w:tc>
        <w:tc>
          <w:tcPr>
            <w:tcW w:w="500" w:type="pct"/>
            <w:gridSpan w:val="2"/>
            <w:tcBorders>
              <w:top w:val="nil"/>
              <w:left w:val="nil"/>
              <w:bottom w:val="nil"/>
              <w:right w:val="nil"/>
            </w:tcBorders>
            <w:shd w:val="clear" w:color="auto" w:fill="auto"/>
            <w:noWrap/>
            <w:vAlign w:val="center"/>
            <w:hideMark/>
          </w:tcPr>
          <w:p w14:paraId="667FC974" w14:textId="79BE0F84"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0.002 </w:t>
            </w:r>
          </w:p>
        </w:tc>
        <w:tc>
          <w:tcPr>
            <w:tcW w:w="1000" w:type="pct"/>
            <w:tcBorders>
              <w:top w:val="nil"/>
              <w:left w:val="nil"/>
              <w:bottom w:val="nil"/>
              <w:right w:val="nil"/>
            </w:tcBorders>
            <w:shd w:val="clear" w:color="auto" w:fill="auto"/>
            <w:noWrap/>
            <w:vAlign w:val="bottom"/>
            <w:hideMark/>
          </w:tcPr>
          <w:p w14:paraId="4F6053B6" w14:textId="2166B432" w:rsidR="00DA18F9" w:rsidRPr="002C3397" w:rsidRDefault="00DA18F9" w:rsidP="00DA18F9">
            <w:pPr>
              <w:widowControl/>
              <w:jc w:val="center"/>
              <w:rPr>
                <w:rFonts w:ascii="Arial" w:eastAsia="等线" w:hAnsi="Arial" w:cs="Arial"/>
                <w:color w:val="000000"/>
                <w:kern w:val="0"/>
                <w:szCs w:val="21"/>
              </w:rPr>
            </w:pPr>
            <w:r>
              <w:rPr>
                <w:rFonts w:ascii="Arial" w:eastAsia="等线" w:hAnsi="Arial" w:cs="Arial"/>
                <w:noProof/>
                <w:color w:val="000000"/>
                <w:kern w:val="0"/>
                <w:szCs w:val="21"/>
              </w:rPr>
              <w:t>[</w:t>
            </w:r>
            <w:r w:rsidR="00F05D34">
              <w:rPr>
                <w:rFonts w:ascii="Arial" w:eastAsia="等线" w:hAnsi="Arial" w:cs="Arial"/>
                <w:noProof/>
                <w:color w:val="000000"/>
                <w:kern w:val="0"/>
                <w:szCs w:val="21"/>
              </w:rPr>
              <w:t>232</w:t>
            </w:r>
            <w:r>
              <w:rPr>
                <w:rFonts w:ascii="Arial" w:eastAsia="等线" w:hAnsi="Arial" w:cs="Arial"/>
                <w:noProof/>
                <w:color w:val="000000"/>
                <w:kern w:val="0"/>
                <w:szCs w:val="21"/>
              </w:rPr>
              <w:t>]</w:t>
            </w:r>
          </w:p>
        </w:tc>
      </w:tr>
      <w:tr w:rsidR="00DA18F9" w:rsidRPr="002C3397" w14:paraId="6E7CBDFC"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0561C617" w14:textId="739AD43E" w:rsidR="00DA18F9" w:rsidRPr="002C3397" w:rsidRDefault="00DA18F9" w:rsidP="00DA18F9">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ENSMUSG00000012705</w:t>
            </w:r>
          </w:p>
        </w:tc>
        <w:tc>
          <w:tcPr>
            <w:tcW w:w="916" w:type="pct"/>
            <w:gridSpan w:val="2"/>
            <w:tcBorders>
              <w:top w:val="nil"/>
              <w:left w:val="nil"/>
              <w:bottom w:val="nil"/>
              <w:right w:val="nil"/>
            </w:tcBorders>
            <w:shd w:val="clear" w:color="auto" w:fill="auto"/>
            <w:noWrap/>
            <w:vAlign w:val="center"/>
            <w:hideMark/>
          </w:tcPr>
          <w:p w14:paraId="12F91E53" w14:textId="7BE29A53" w:rsidR="00DA18F9" w:rsidRPr="002C3397" w:rsidRDefault="00DA18F9" w:rsidP="00DA18F9">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Retn</w:t>
            </w:r>
          </w:p>
        </w:tc>
        <w:tc>
          <w:tcPr>
            <w:tcW w:w="1169" w:type="pct"/>
            <w:tcBorders>
              <w:top w:val="nil"/>
              <w:left w:val="nil"/>
              <w:bottom w:val="nil"/>
              <w:right w:val="nil"/>
            </w:tcBorders>
            <w:shd w:val="clear" w:color="auto" w:fill="auto"/>
            <w:noWrap/>
            <w:vAlign w:val="center"/>
            <w:hideMark/>
          </w:tcPr>
          <w:p w14:paraId="7A0D11F1" w14:textId="2D3F554B"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5.079 </w:t>
            </w:r>
          </w:p>
        </w:tc>
        <w:tc>
          <w:tcPr>
            <w:tcW w:w="500" w:type="pct"/>
            <w:tcBorders>
              <w:top w:val="nil"/>
              <w:left w:val="nil"/>
              <w:bottom w:val="nil"/>
              <w:right w:val="nil"/>
            </w:tcBorders>
            <w:shd w:val="clear" w:color="auto" w:fill="auto"/>
            <w:noWrap/>
            <w:vAlign w:val="center"/>
            <w:hideMark/>
          </w:tcPr>
          <w:p w14:paraId="627648CE" w14:textId="356E06F0"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0.001 </w:t>
            </w:r>
          </w:p>
        </w:tc>
        <w:tc>
          <w:tcPr>
            <w:tcW w:w="500" w:type="pct"/>
            <w:gridSpan w:val="2"/>
            <w:tcBorders>
              <w:top w:val="nil"/>
              <w:left w:val="nil"/>
              <w:bottom w:val="nil"/>
              <w:right w:val="nil"/>
            </w:tcBorders>
            <w:shd w:val="clear" w:color="auto" w:fill="auto"/>
            <w:noWrap/>
            <w:vAlign w:val="center"/>
            <w:hideMark/>
          </w:tcPr>
          <w:p w14:paraId="6ED3E338" w14:textId="6227C6A5"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0.004 </w:t>
            </w:r>
          </w:p>
        </w:tc>
        <w:tc>
          <w:tcPr>
            <w:tcW w:w="1000" w:type="pct"/>
            <w:tcBorders>
              <w:top w:val="nil"/>
              <w:left w:val="nil"/>
              <w:bottom w:val="nil"/>
              <w:right w:val="nil"/>
            </w:tcBorders>
            <w:shd w:val="clear" w:color="auto" w:fill="auto"/>
            <w:noWrap/>
            <w:vAlign w:val="bottom"/>
            <w:hideMark/>
          </w:tcPr>
          <w:p w14:paraId="51C0DA1F" w14:textId="44542F73" w:rsidR="00DA18F9" w:rsidRPr="002C3397" w:rsidRDefault="00DA18F9" w:rsidP="00DA18F9">
            <w:pPr>
              <w:widowControl/>
              <w:jc w:val="center"/>
              <w:rPr>
                <w:rFonts w:ascii="Arial" w:eastAsia="等线" w:hAnsi="Arial" w:cs="Arial"/>
                <w:color w:val="000000"/>
                <w:kern w:val="0"/>
                <w:szCs w:val="21"/>
              </w:rPr>
            </w:pPr>
            <w:r>
              <w:rPr>
                <w:rFonts w:ascii="Arial" w:eastAsia="等线" w:hAnsi="Arial" w:cs="Arial"/>
                <w:noProof/>
                <w:color w:val="000000"/>
                <w:kern w:val="0"/>
                <w:szCs w:val="21"/>
              </w:rPr>
              <w:t>[</w:t>
            </w:r>
            <w:r w:rsidR="00F05D34">
              <w:rPr>
                <w:rFonts w:ascii="Arial" w:eastAsia="等线" w:hAnsi="Arial" w:cs="Arial"/>
                <w:noProof/>
                <w:color w:val="000000"/>
                <w:kern w:val="0"/>
                <w:szCs w:val="21"/>
              </w:rPr>
              <w:t>233</w:t>
            </w:r>
            <w:r>
              <w:rPr>
                <w:rFonts w:ascii="Arial" w:eastAsia="等线" w:hAnsi="Arial" w:cs="Arial"/>
                <w:noProof/>
                <w:color w:val="000000"/>
                <w:kern w:val="0"/>
                <w:szCs w:val="21"/>
              </w:rPr>
              <w:t>]</w:t>
            </w:r>
          </w:p>
        </w:tc>
      </w:tr>
      <w:tr w:rsidR="00DA18F9" w:rsidRPr="002C3397" w14:paraId="1B266F21"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42916DE0" w14:textId="36EB8639" w:rsidR="00DA18F9" w:rsidRPr="002C3397" w:rsidRDefault="00DA18F9" w:rsidP="00DA18F9">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ENSMUSG00000026117</w:t>
            </w:r>
          </w:p>
        </w:tc>
        <w:tc>
          <w:tcPr>
            <w:tcW w:w="916" w:type="pct"/>
            <w:gridSpan w:val="2"/>
            <w:tcBorders>
              <w:top w:val="nil"/>
              <w:left w:val="nil"/>
              <w:bottom w:val="nil"/>
              <w:right w:val="nil"/>
            </w:tcBorders>
            <w:shd w:val="clear" w:color="auto" w:fill="auto"/>
            <w:noWrap/>
            <w:vAlign w:val="center"/>
            <w:hideMark/>
          </w:tcPr>
          <w:p w14:paraId="6030F1A1" w14:textId="16A8386B" w:rsidR="00DA18F9" w:rsidRPr="002C3397" w:rsidRDefault="00DA18F9" w:rsidP="00DA18F9">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Zap70</w:t>
            </w:r>
          </w:p>
        </w:tc>
        <w:tc>
          <w:tcPr>
            <w:tcW w:w="1169" w:type="pct"/>
            <w:tcBorders>
              <w:top w:val="nil"/>
              <w:left w:val="nil"/>
              <w:bottom w:val="nil"/>
              <w:right w:val="nil"/>
            </w:tcBorders>
            <w:shd w:val="clear" w:color="auto" w:fill="auto"/>
            <w:noWrap/>
            <w:vAlign w:val="center"/>
            <w:hideMark/>
          </w:tcPr>
          <w:p w14:paraId="50B2A3B9" w14:textId="7CA1E335"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2.727 </w:t>
            </w:r>
          </w:p>
        </w:tc>
        <w:tc>
          <w:tcPr>
            <w:tcW w:w="500" w:type="pct"/>
            <w:tcBorders>
              <w:top w:val="nil"/>
              <w:left w:val="nil"/>
              <w:bottom w:val="nil"/>
              <w:right w:val="nil"/>
            </w:tcBorders>
            <w:shd w:val="clear" w:color="auto" w:fill="auto"/>
            <w:noWrap/>
            <w:vAlign w:val="center"/>
            <w:hideMark/>
          </w:tcPr>
          <w:p w14:paraId="703FE22C" w14:textId="48607734"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0.002 </w:t>
            </w:r>
          </w:p>
        </w:tc>
        <w:tc>
          <w:tcPr>
            <w:tcW w:w="500" w:type="pct"/>
            <w:gridSpan w:val="2"/>
            <w:tcBorders>
              <w:top w:val="nil"/>
              <w:left w:val="nil"/>
              <w:bottom w:val="nil"/>
              <w:right w:val="nil"/>
            </w:tcBorders>
            <w:shd w:val="clear" w:color="auto" w:fill="auto"/>
            <w:noWrap/>
            <w:vAlign w:val="center"/>
            <w:hideMark/>
          </w:tcPr>
          <w:p w14:paraId="5DD49663" w14:textId="542356ED"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0.004 </w:t>
            </w:r>
          </w:p>
        </w:tc>
        <w:tc>
          <w:tcPr>
            <w:tcW w:w="1000" w:type="pct"/>
            <w:tcBorders>
              <w:top w:val="nil"/>
              <w:left w:val="nil"/>
              <w:bottom w:val="nil"/>
              <w:right w:val="nil"/>
            </w:tcBorders>
            <w:shd w:val="clear" w:color="auto" w:fill="auto"/>
            <w:noWrap/>
            <w:vAlign w:val="bottom"/>
            <w:hideMark/>
          </w:tcPr>
          <w:p w14:paraId="3F9A3D17" w14:textId="2BDA0C0E" w:rsidR="00DA18F9" w:rsidRPr="002C3397" w:rsidRDefault="00DA18F9" w:rsidP="00DA18F9">
            <w:pPr>
              <w:widowControl/>
              <w:jc w:val="center"/>
              <w:rPr>
                <w:rFonts w:ascii="Arial" w:eastAsia="等线" w:hAnsi="Arial" w:cs="Arial"/>
                <w:color w:val="000000"/>
                <w:kern w:val="0"/>
                <w:szCs w:val="21"/>
              </w:rPr>
            </w:pPr>
            <w:r>
              <w:rPr>
                <w:rFonts w:ascii="Arial" w:eastAsia="等线" w:hAnsi="Arial" w:cs="Arial"/>
                <w:noProof/>
                <w:color w:val="000000"/>
                <w:kern w:val="0"/>
                <w:szCs w:val="21"/>
              </w:rPr>
              <w:t>[</w:t>
            </w:r>
            <w:r w:rsidR="00F05D34">
              <w:rPr>
                <w:rFonts w:ascii="Arial" w:eastAsia="等线" w:hAnsi="Arial" w:cs="Arial"/>
                <w:noProof/>
                <w:color w:val="000000"/>
                <w:kern w:val="0"/>
                <w:szCs w:val="21"/>
              </w:rPr>
              <w:t>234</w:t>
            </w:r>
            <w:r>
              <w:rPr>
                <w:rFonts w:ascii="Arial" w:eastAsia="等线" w:hAnsi="Arial" w:cs="Arial"/>
                <w:noProof/>
                <w:color w:val="000000"/>
                <w:kern w:val="0"/>
                <w:szCs w:val="21"/>
              </w:rPr>
              <w:t>]</w:t>
            </w:r>
          </w:p>
        </w:tc>
      </w:tr>
      <w:tr w:rsidR="00DA18F9" w:rsidRPr="002C3397" w14:paraId="4D4C81BC"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2C81FB50" w14:textId="7CC115D8" w:rsidR="00DA18F9" w:rsidRPr="002C3397" w:rsidRDefault="00DA18F9" w:rsidP="00DA18F9">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ENSMUSG00000050395</w:t>
            </w:r>
          </w:p>
        </w:tc>
        <w:tc>
          <w:tcPr>
            <w:tcW w:w="916" w:type="pct"/>
            <w:gridSpan w:val="2"/>
            <w:tcBorders>
              <w:top w:val="nil"/>
              <w:left w:val="nil"/>
              <w:bottom w:val="nil"/>
              <w:right w:val="nil"/>
            </w:tcBorders>
            <w:shd w:val="clear" w:color="auto" w:fill="auto"/>
            <w:noWrap/>
            <w:vAlign w:val="center"/>
            <w:hideMark/>
          </w:tcPr>
          <w:p w14:paraId="1192F9FE" w14:textId="602F0C8F" w:rsidR="00DA18F9" w:rsidRPr="002C3397" w:rsidRDefault="00DA18F9" w:rsidP="00DA18F9">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Tnfsf15</w:t>
            </w:r>
          </w:p>
        </w:tc>
        <w:tc>
          <w:tcPr>
            <w:tcW w:w="1169" w:type="pct"/>
            <w:tcBorders>
              <w:top w:val="nil"/>
              <w:left w:val="nil"/>
              <w:bottom w:val="nil"/>
              <w:right w:val="nil"/>
            </w:tcBorders>
            <w:shd w:val="clear" w:color="auto" w:fill="auto"/>
            <w:noWrap/>
            <w:vAlign w:val="center"/>
            <w:hideMark/>
          </w:tcPr>
          <w:p w14:paraId="4E8D3527" w14:textId="453408AE"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-4.887 </w:t>
            </w:r>
          </w:p>
        </w:tc>
        <w:tc>
          <w:tcPr>
            <w:tcW w:w="500" w:type="pct"/>
            <w:tcBorders>
              <w:top w:val="nil"/>
              <w:left w:val="nil"/>
              <w:bottom w:val="nil"/>
              <w:right w:val="nil"/>
            </w:tcBorders>
            <w:shd w:val="clear" w:color="auto" w:fill="auto"/>
            <w:noWrap/>
            <w:vAlign w:val="center"/>
            <w:hideMark/>
          </w:tcPr>
          <w:p w14:paraId="1A3CF5A2" w14:textId="76CFC924"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0.002 </w:t>
            </w:r>
          </w:p>
        </w:tc>
        <w:tc>
          <w:tcPr>
            <w:tcW w:w="500" w:type="pct"/>
            <w:gridSpan w:val="2"/>
            <w:tcBorders>
              <w:top w:val="nil"/>
              <w:left w:val="nil"/>
              <w:bottom w:val="nil"/>
              <w:right w:val="nil"/>
            </w:tcBorders>
            <w:shd w:val="clear" w:color="auto" w:fill="auto"/>
            <w:noWrap/>
            <w:vAlign w:val="center"/>
            <w:hideMark/>
          </w:tcPr>
          <w:p w14:paraId="2FA800E0" w14:textId="53E956EB"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0.005 </w:t>
            </w:r>
          </w:p>
        </w:tc>
        <w:tc>
          <w:tcPr>
            <w:tcW w:w="1000" w:type="pct"/>
            <w:tcBorders>
              <w:top w:val="nil"/>
              <w:left w:val="nil"/>
              <w:bottom w:val="nil"/>
              <w:right w:val="nil"/>
            </w:tcBorders>
            <w:shd w:val="clear" w:color="auto" w:fill="auto"/>
            <w:noWrap/>
            <w:vAlign w:val="bottom"/>
            <w:hideMark/>
          </w:tcPr>
          <w:p w14:paraId="5B364D9E" w14:textId="01FBFDD9" w:rsidR="00DA18F9" w:rsidRPr="002C3397" w:rsidRDefault="00DA18F9" w:rsidP="00DA18F9">
            <w:pPr>
              <w:widowControl/>
              <w:jc w:val="center"/>
              <w:rPr>
                <w:rFonts w:ascii="Arial" w:eastAsia="等线" w:hAnsi="Arial" w:cs="Arial"/>
                <w:color w:val="000000"/>
                <w:kern w:val="0"/>
                <w:szCs w:val="21"/>
              </w:rPr>
            </w:pPr>
            <w:r>
              <w:rPr>
                <w:rFonts w:ascii="Arial" w:eastAsia="等线" w:hAnsi="Arial" w:cs="Arial"/>
                <w:noProof/>
                <w:color w:val="000000"/>
                <w:kern w:val="0"/>
                <w:szCs w:val="21"/>
              </w:rPr>
              <w:t>[</w:t>
            </w:r>
            <w:r w:rsidR="00F05D34">
              <w:rPr>
                <w:rFonts w:ascii="Arial" w:eastAsia="等线" w:hAnsi="Arial" w:cs="Arial"/>
                <w:noProof/>
                <w:color w:val="000000"/>
                <w:kern w:val="0"/>
                <w:szCs w:val="21"/>
              </w:rPr>
              <w:t>235</w:t>
            </w:r>
            <w:r>
              <w:rPr>
                <w:rFonts w:ascii="Arial" w:eastAsia="等线" w:hAnsi="Arial" w:cs="Arial"/>
                <w:noProof/>
                <w:color w:val="000000"/>
                <w:kern w:val="0"/>
                <w:szCs w:val="21"/>
              </w:rPr>
              <w:t>]</w:t>
            </w:r>
          </w:p>
        </w:tc>
      </w:tr>
      <w:tr w:rsidR="00DA18F9" w:rsidRPr="002C3397" w14:paraId="7BC971C2"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0B19F340" w14:textId="70E2E3D8" w:rsidR="00DA18F9" w:rsidRPr="002C3397" w:rsidRDefault="00DA18F9" w:rsidP="00DA18F9">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ENSMUSG00000015854</w:t>
            </w:r>
          </w:p>
        </w:tc>
        <w:tc>
          <w:tcPr>
            <w:tcW w:w="916" w:type="pct"/>
            <w:gridSpan w:val="2"/>
            <w:tcBorders>
              <w:top w:val="nil"/>
              <w:left w:val="nil"/>
              <w:bottom w:val="nil"/>
              <w:right w:val="nil"/>
            </w:tcBorders>
            <w:shd w:val="clear" w:color="auto" w:fill="auto"/>
            <w:noWrap/>
            <w:vAlign w:val="center"/>
            <w:hideMark/>
          </w:tcPr>
          <w:p w14:paraId="7D958B94" w14:textId="35822E21" w:rsidR="00DA18F9" w:rsidRPr="002C3397" w:rsidRDefault="00DA18F9" w:rsidP="00DA18F9">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Cd5l</w:t>
            </w:r>
          </w:p>
        </w:tc>
        <w:tc>
          <w:tcPr>
            <w:tcW w:w="1169" w:type="pct"/>
            <w:tcBorders>
              <w:top w:val="nil"/>
              <w:left w:val="nil"/>
              <w:bottom w:val="nil"/>
              <w:right w:val="nil"/>
            </w:tcBorders>
            <w:shd w:val="clear" w:color="auto" w:fill="auto"/>
            <w:noWrap/>
            <w:vAlign w:val="center"/>
            <w:hideMark/>
          </w:tcPr>
          <w:p w14:paraId="6D18A8D8" w14:textId="03E92B19"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-2.886 </w:t>
            </w:r>
          </w:p>
        </w:tc>
        <w:tc>
          <w:tcPr>
            <w:tcW w:w="500" w:type="pct"/>
            <w:tcBorders>
              <w:top w:val="nil"/>
              <w:left w:val="nil"/>
              <w:bottom w:val="nil"/>
              <w:right w:val="nil"/>
            </w:tcBorders>
            <w:shd w:val="clear" w:color="auto" w:fill="auto"/>
            <w:noWrap/>
            <w:vAlign w:val="center"/>
            <w:hideMark/>
          </w:tcPr>
          <w:p w14:paraId="66125EE0" w14:textId="2F54B00B"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0.002 </w:t>
            </w:r>
          </w:p>
        </w:tc>
        <w:tc>
          <w:tcPr>
            <w:tcW w:w="500" w:type="pct"/>
            <w:gridSpan w:val="2"/>
            <w:tcBorders>
              <w:top w:val="nil"/>
              <w:left w:val="nil"/>
              <w:bottom w:val="nil"/>
              <w:right w:val="nil"/>
            </w:tcBorders>
            <w:shd w:val="clear" w:color="auto" w:fill="auto"/>
            <w:noWrap/>
            <w:vAlign w:val="center"/>
            <w:hideMark/>
          </w:tcPr>
          <w:p w14:paraId="69CEB3AE" w14:textId="11668835"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0.006 </w:t>
            </w:r>
          </w:p>
        </w:tc>
        <w:tc>
          <w:tcPr>
            <w:tcW w:w="1000" w:type="pct"/>
            <w:tcBorders>
              <w:top w:val="nil"/>
              <w:left w:val="nil"/>
              <w:bottom w:val="nil"/>
              <w:right w:val="nil"/>
            </w:tcBorders>
            <w:shd w:val="clear" w:color="auto" w:fill="auto"/>
            <w:noWrap/>
            <w:vAlign w:val="bottom"/>
            <w:hideMark/>
          </w:tcPr>
          <w:p w14:paraId="39D0012A" w14:textId="1A096B83" w:rsidR="00DA18F9" w:rsidRPr="002C3397" w:rsidRDefault="00DA18F9" w:rsidP="00DA18F9">
            <w:pPr>
              <w:widowControl/>
              <w:jc w:val="center"/>
              <w:rPr>
                <w:rFonts w:ascii="Arial" w:eastAsia="等线" w:hAnsi="Arial" w:cs="Arial"/>
                <w:color w:val="000000"/>
                <w:kern w:val="0"/>
                <w:szCs w:val="21"/>
              </w:rPr>
            </w:pPr>
            <w:r>
              <w:rPr>
                <w:rFonts w:ascii="Arial" w:eastAsia="等线" w:hAnsi="Arial" w:cs="Arial"/>
                <w:noProof/>
                <w:color w:val="000000"/>
                <w:kern w:val="0"/>
                <w:szCs w:val="21"/>
              </w:rPr>
              <w:t>[</w:t>
            </w:r>
            <w:r w:rsidR="00F05D34">
              <w:rPr>
                <w:rFonts w:ascii="Arial" w:eastAsia="等线" w:hAnsi="Arial" w:cs="Arial"/>
                <w:noProof/>
                <w:color w:val="000000"/>
                <w:kern w:val="0"/>
                <w:szCs w:val="21"/>
              </w:rPr>
              <w:t>236</w:t>
            </w:r>
            <w:r>
              <w:rPr>
                <w:rFonts w:ascii="Arial" w:eastAsia="等线" w:hAnsi="Arial" w:cs="Arial"/>
                <w:noProof/>
                <w:color w:val="000000"/>
                <w:kern w:val="0"/>
                <w:szCs w:val="21"/>
              </w:rPr>
              <w:t>]</w:t>
            </w:r>
          </w:p>
        </w:tc>
      </w:tr>
      <w:tr w:rsidR="00DA18F9" w:rsidRPr="002C3397" w14:paraId="5CB176DE"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7A1E26F2" w14:textId="57E5FCB7" w:rsidR="00DA18F9" w:rsidRPr="002C3397" w:rsidRDefault="00DA18F9" w:rsidP="00DA18F9">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ENSMUSG00000028661</w:t>
            </w:r>
          </w:p>
        </w:tc>
        <w:tc>
          <w:tcPr>
            <w:tcW w:w="916" w:type="pct"/>
            <w:gridSpan w:val="2"/>
            <w:tcBorders>
              <w:top w:val="nil"/>
              <w:left w:val="nil"/>
              <w:bottom w:val="nil"/>
              <w:right w:val="nil"/>
            </w:tcBorders>
            <w:shd w:val="clear" w:color="auto" w:fill="auto"/>
            <w:noWrap/>
            <w:vAlign w:val="center"/>
            <w:hideMark/>
          </w:tcPr>
          <w:p w14:paraId="71C8FB56" w14:textId="45980724" w:rsidR="00DA18F9" w:rsidRPr="002C3397" w:rsidRDefault="00DA18F9" w:rsidP="00DA18F9">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Epha8</w:t>
            </w:r>
          </w:p>
        </w:tc>
        <w:tc>
          <w:tcPr>
            <w:tcW w:w="1169" w:type="pct"/>
            <w:tcBorders>
              <w:top w:val="nil"/>
              <w:left w:val="nil"/>
              <w:bottom w:val="nil"/>
              <w:right w:val="nil"/>
            </w:tcBorders>
            <w:shd w:val="clear" w:color="auto" w:fill="auto"/>
            <w:noWrap/>
            <w:vAlign w:val="center"/>
            <w:hideMark/>
          </w:tcPr>
          <w:p w14:paraId="465F01F6" w14:textId="42C35491"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3.018 </w:t>
            </w:r>
          </w:p>
        </w:tc>
        <w:tc>
          <w:tcPr>
            <w:tcW w:w="500" w:type="pct"/>
            <w:tcBorders>
              <w:top w:val="nil"/>
              <w:left w:val="nil"/>
              <w:bottom w:val="nil"/>
              <w:right w:val="nil"/>
            </w:tcBorders>
            <w:shd w:val="clear" w:color="auto" w:fill="auto"/>
            <w:noWrap/>
            <w:vAlign w:val="center"/>
            <w:hideMark/>
          </w:tcPr>
          <w:p w14:paraId="45DB0D9D" w14:textId="640C5D01"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0.002 </w:t>
            </w:r>
          </w:p>
        </w:tc>
        <w:tc>
          <w:tcPr>
            <w:tcW w:w="500" w:type="pct"/>
            <w:gridSpan w:val="2"/>
            <w:tcBorders>
              <w:top w:val="nil"/>
              <w:left w:val="nil"/>
              <w:bottom w:val="nil"/>
              <w:right w:val="nil"/>
            </w:tcBorders>
            <w:shd w:val="clear" w:color="auto" w:fill="auto"/>
            <w:noWrap/>
            <w:vAlign w:val="center"/>
            <w:hideMark/>
          </w:tcPr>
          <w:p w14:paraId="7FA6124E" w14:textId="70B54455"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0.006 </w:t>
            </w:r>
          </w:p>
        </w:tc>
        <w:tc>
          <w:tcPr>
            <w:tcW w:w="1000" w:type="pct"/>
            <w:tcBorders>
              <w:top w:val="nil"/>
              <w:left w:val="nil"/>
              <w:bottom w:val="nil"/>
              <w:right w:val="nil"/>
            </w:tcBorders>
            <w:shd w:val="clear" w:color="auto" w:fill="auto"/>
            <w:noWrap/>
            <w:vAlign w:val="bottom"/>
            <w:hideMark/>
          </w:tcPr>
          <w:p w14:paraId="2119251C" w14:textId="62C70111"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204</w:t>
            </w:r>
            <w:r w:rsidRPr="002C3397">
              <w:rPr>
                <w:rFonts w:ascii="Arial" w:eastAsia="等线" w:hAnsi="Arial" w:cs="Arial"/>
                <w:noProof/>
                <w:color w:val="000000"/>
                <w:kern w:val="0"/>
                <w:szCs w:val="21"/>
              </w:rPr>
              <w:t>]</w:t>
            </w:r>
          </w:p>
        </w:tc>
      </w:tr>
      <w:tr w:rsidR="00DA18F9" w:rsidRPr="002C3397" w14:paraId="19D46D5A"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1F29F85E" w14:textId="51549784" w:rsidR="00DA18F9" w:rsidRPr="002C3397" w:rsidRDefault="00DA18F9" w:rsidP="00DA18F9">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ENSMUSG00000104713</w:t>
            </w:r>
          </w:p>
        </w:tc>
        <w:tc>
          <w:tcPr>
            <w:tcW w:w="916" w:type="pct"/>
            <w:gridSpan w:val="2"/>
            <w:tcBorders>
              <w:top w:val="nil"/>
              <w:left w:val="nil"/>
              <w:bottom w:val="nil"/>
              <w:right w:val="nil"/>
            </w:tcBorders>
            <w:shd w:val="clear" w:color="auto" w:fill="auto"/>
            <w:noWrap/>
            <w:vAlign w:val="center"/>
            <w:hideMark/>
          </w:tcPr>
          <w:p w14:paraId="282A0032" w14:textId="4638C4C3" w:rsidR="00DA18F9" w:rsidRPr="002C3397" w:rsidRDefault="00DA18F9" w:rsidP="00DA18F9">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Gbp6</w:t>
            </w:r>
          </w:p>
        </w:tc>
        <w:tc>
          <w:tcPr>
            <w:tcW w:w="1169" w:type="pct"/>
            <w:tcBorders>
              <w:top w:val="nil"/>
              <w:left w:val="nil"/>
              <w:bottom w:val="nil"/>
              <w:right w:val="nil"/>
            </w:tcBorders>
            <w:shd w:val="clear" w:color="auto" w:fill="auto"/>
            <w:noWrap/>
            <w:vAlign w:val="center"/>
            <w:hideMark/>
          </w:tcPr>
          <w:p w14:paraId="6E565408" w14:textId="00138ADE"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-3.328 </w:t>
            </w:r>
          </w:p>
        </w:tc>
        <w:tc>
          <w:tcPr>
            <w:tcW w:w="500" w:type="pct"/>
            <w:tcBorders>
              <w:top w:val="nil"/>
              <w:left w:val="nil"/>
              <w:bottom w:val="nil"/>
              <w:right w:val="nil"/>
            </w:tcBorders>
            <w:shd w:val="clear" w:color="auto" w:fill="auto"/>
            <w:noWrap/>
            <w:vAlign w:val="center"/>
            <w:hideMark/>
          </w:tcPr>
          <w:p w14:paraId="00E296E5" w14:textId="41B0F992"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0.003 </w:t>
            </w:r>
          </w:p>
        </w:tc>
        <w:tc>
          <w:tcPr>
            <w:tcW w:w="500" w:type="pct"/>
            <w:gridSpan w:val="2"/>
            <w:tcBorders>
              <w:top w:val="nil"/>
              <w:left w:val="nil"/>
              <w:bottom w:val="nil"/>
              <w:right w:val="nil"/>
            </w:tcBorders>
            <w:shd w:val="clear" w:color="auto" w:fill="auto"/>
            <w:noWrap/>
            <w:vAlign w:val="center"/>
            <w:hideMark/>
          </w:tcPr>
          <w:p w14:paraId="0FC37688" w14:textId="22E640B4"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0.006 </w:t>
            </w:r>
          </w:p>
        </w:tc>
        <w:tc>
          <w:tcPr>
            <w:tcW w:w="1000" w:type="pct"/>
            <w:tcBorders>
              <w:top w:val="nil"/>
              <w:left w:val="nil"/>
              <w:bottom w:val="nil"/>
              <w:right w:val="nil"/>
            </w:tcBorders>
            <w:shd w:val="clear" w:color="auto" w:fill="auto"/>
            <w:noWrap/>
            <w:vAlign w:val="bottom"/>
            <w:hideMark/>
          </w:tcPr>
          <w:p w14:paraId="58A700BE" w14:textId="36CF8DB9" w:rsidR="00DA18F9" w:rsidRPr="002C3397" w:rsidRDefault="00DA18F9" w:rsidP="00DA18F9">
            <w:pPr>
              <w:widowControl/>
              <w:jc w:val="center"/>
              <w:rPr>
                <w:rFonts w:ascii="Arial" w:eastAsia="等线" w:hAnsi="Arial" w:cs="Arial"/>
                <w:color w:val="000000"/>
                <w:kern w:val="0"/>
                <w:szCs w:val="21"/>
              </w:rPr>
            </w:pPr>
            <w:r>
              <w:rPr>
                <w:rFonts w:ascii="Arial" w:eastAsia="等线" w:hAnsi="Arial" w:cs="Arial"/>
                <w:noProof/>
                <w:color w:val="000000"/>
                <w:kern w:val="0"/>
                <w:szCs w:val="21"/>
              </w:rPr>
              <w:t>[</w:t>
            </w:r>
            <w:r w:rsidR="00F05D34">
              <w:rPr>
                <w:rFonts w:ascii="Arial" w:eastAsia="等线" w:hAnsi="Arial" w:cs="Arial"/>
                <w:noProof/>
                <w:color w:val="000000"/>
                <w:kern w:val="0"/>
                <w:szCs w:val="21"/>
              </w:rPr>
              <w:t>237</w:t>
            </w:r>
            <w:r>
              <w:rPr>
                <w:rFonts w:ascii="Arial" w:eastAsia="等线" w:hAnsi="Arial" w:cs="Arial"/>
                <w:noProof/>
                <w:color w:val="000000"/>
                <w:kern w:val="0"/>
                <w:szCs w:val="21"/>
              </w:rPr>
              <w:t>]</w:t>
            </w:r>
          </w:p>
        </w:tc>
      </w:tr>
      <w:tr w:rsidR="00DA18F9" w:rsidRPr="002C3397" w14:paraId="751CD4ED"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0573DC48" w14:textId="03890B66" w:rsidR="00DA18F9" w:rsidRPr="002C3397" w:rsidRDefault="00DA18F9" w:rsidP="00DA18F9">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ENSMUSG00000029379</w:t>
            </w:r>
          </w:p>
        </w:tc>
        <w:tc>
          <w:tcPr>
            <w:tcW w:w="916" w:type="pct"/>
            <w:gridSpan w:val="2"/>
            <w:tcBorders>
              <w:top w:val="nil"/>
              <w:left w:val="nil"/>
              <w:bottom w:val="nil"/>
              <w:right w:val="nil"/>
            </w:tcBorders>
            <w:shd w:val="clear" w:color="auto" w:fill="auto"/>
            <w:noWrap/>
            <w:vAlign w:val="center"/>
            <w:hideMark/>
          </w:tcPr>
          <w:p w14:paraId="48D66DAE" w14:textId="427278D7" w:rsidR="00DA18F9" w:rsidRPr="002C3397" w:rsidRDefault="00DA18F9" w:rsidP="00DA18F9">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Cxcl3</w:t>
            </w:r>
          </w:p>
        </w:tc>
        <w:tc>
          <w:tcPr>
            <w:tcW w:w="1169" w:type="pct"/>
            <w:tcBorders>
              <w:top w:val="nil"/>
              <w:left w:val="nil"/>
              <w:bottom w:val="nil"/>
              <w:right w:val="nil"/>
            </w:tcBorders>
            <w:shd w:val="clear" w:color="auto" w:fill="auto"/>
            <w:noWrap/>
            <w:vAlign w:val="center"/>
            <w:hideMark/>
          </w:tcPr>
          <w:p w14:paraId="653A768A" w14:textId="60F34191"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3.447 </w:t>
            </w:r>
          </w:p>
        </w:tc>
        <w:tc>
          <w:tcPr>
            <w:tcW w:w="500" w:type="pct"/>
            <w:tcBorders>
              <w:top w:val="nil"/>
              <w:left w:val="nil"/>
              <w:bottom w:val="nil"/>
              <w:right w:val="nil"/>
            </w:tcBorders>
            <w:shd w:val="clear" w:color="auto" w:fill="auto"/>
            <w:noWrap/>
            <w:vAlign w:val="center"/>
            <w:hideMark/>
          </w:tcPr>
          <w:p w14:paraId="0EE26D2B" w14:textId="522CB260"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0.003 </w:t>
            </w:r>
          </w:p>
        </w:tc>
        <w:tc>
          <w:tcPr>
            <w:tcW w:w="500" w:type="pct"/>
            <w:gridSpan w:val="2"/>
            <w:tcBorders>
              <w:top w:val="nil"/>
              <w:left w:val="nil"/>
              <w:bottom w:val="nil"/>
              <w:right w:val="nil"/>
            </w:tcBorders>
            <w:shd w:val="clear" w:color="auto" w:fill="auto"/>
            <w:noWrap/>
            <w:vAlign w:val="center"/>
            <w:hideMark/>
          </w:tcPr>
          <w:p w14:paraId="1F82C6B7" w14:textId="54E0A4D6"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0.008 </w:t>
            </w:r>
          </w:p>
        </w:tc>
        <w:tc>
          <w:tcPr>
            <w:tcW w:w="1000" w:type="pct"/>
            <w:tcBorders>
              <w:top w:val="nil"/>
              <w:left w:val="nil"/>
              <w:bottom w:val="nil"/>
              <w:right w:val="nil"/>
            </w:tcBorders>
            <w:shd w:val="clear" w:color="auto" w:fill="auto"/>
            <w:noWrap/>
            <w:vAlign w:val="bottom"/>
            <w:hideMark/>
          </w:tcPr>
          <w:p w14:paraId="770E27E1" w14:textId="6639B31F" w:rsidR="00DA18F9" w:rsidRPr="002C3397" w:rsidRDefault="00DA18F9" w:rsidP="00DA18F9">
            <w:pPr>
              <w:widowControl/>
              <w:jc w:val="center"/>
              <w:rPr>
                <w:rFonts w:ascii="Arial" w:eastAsia="等线" w:hAnsi="Arial" w:cs="Arial"/>
                <w:color w:val="000000"/>
                <w:kern w:val="0"/>
                <w:szCs w:val="21"/>
              </w:rPr>
            </w:pPr>
            <w:r>
              <w:rPr>
                <w:rFonts w:ascii="Arial" w:eastAsia="等线" w:hAnsi="Arial" w:cs="Arial"/>
                <w:noProof/>
                <w:color w:val="000000"/>
                <w:kern w:val="0"/>
                <w:szCs w:val="21"/>
              </w:rPr>
              <w:t>[</w:t>
            </w:r>
            <w:r w:rsidR="00F05D34">
              <w:rPr>
                <w:rFonts w:ascii="Arial" w:eastAsia="等线" w:hAnsi="Arial" w:cs="Arial"/>
                <w:noProof/>
                <w:color w:val="000000"/>
                <w:kern w:val="0"/>
                <w:szCs w:val="21"/>
              </w:rPr>
              <w:t>238</w:t>
            </w:r>
            <w:r>
              <w:rPr>
                <w:rFonts w:ascii="Arial" w:eastAsia="等线" w:hAnsi="Arial" w:cs="Arial"/>
                <w:noProof/>
                <w:color w:val="000000"/>
                <w:kern w:val="0"/>
                <w:szCs w:val="21"/>
              </w:rPr>
              <w:t xml:space="preserve">, </w:t>
            </w:r>
            <w:r w:rsidR="00F05D34">
              <w:rPr>
                <w:rFonts w:ascii="Arial" w:eastAsia="等线" w:hAnsi="Arial" w:cs="Arial"/>
                <w:noProof/>
                <w:color w:val="000000"/>
                <w:kern w:val="0"/>
                <w:szCs w:val="21"/>
              </w:rPr>
              <w:t>239</w:t>
            </w:r>
            <w:r>
              <w:rPr>
                <w:rFonts w:ascii="Arial" w:eastAsia="等线" w:hAnsi="Arial" w:cs="Arial"/>
                <w:noProof/>
                <w:color w:val="000000"/>
                <w:kern w:val="0"/>
                <w:szCs w:val="21"/>
              </w:rPr>
              <w:t>]</w:t>
            </w:r>
          </w:p>
        </w:tc>
      </w:tr>
      <w:tr w:rsidR="00DA18F9" w:rsidRPr="002C3397" w14:paraId="6B6AF3D4"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6E218167" w14:textId="00B3F2D2" w:rsidR="00DA18F9" w:rsidRPr="002C3397" w:rsidRDefault="00DA18F9" w:rsidP="00DA18F9">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ENSMUSG00000027460</w:t>
            </w:r>
          </w:p>
        </w:tc>
        <w:tc>
          <w:tcPr>
            <w:tcW w:w="916" w:type="pct"/>
            <w:gridSpan w:val="2"/>
            <w:tcBorders>
              <w:top w:val="nil"/>
              <w:left w:val="nil"/>
              <w:bottom w:val="nil"/>
              <w:right w:val="nil"/>
            </w:tcBorders>
            <w:shd w:val="clear" w:color="auto" w:fill="auto"/>
            <w:noWrap/>
            <w:vAlign w:val="center"/>
            <w:hideMark/>
          </w:tcPr>
          <w:p w14:paraId="166E4F9F" w14:textId="7BF863FA" w:rsidR="00DA18F9" w:rsidRPr="002C3397" w:rsidRDefault="00DA18F9" w:rsidP="00DA18F9">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Angpt4</w:t>
            </w:r>
          </w:p>
        </w:tc>
        <w:tc>
          <w:tcPr>
            <w:tcW w:w="1169" w:type="pct"/>
            <w:tcBorders>
              <w:top w:val="nil"/>
              <w:left w:val="nil"/>
              <w:bottom w:val="nil"/>
              <w:right w:val="nil"/>
            </w:tcBorders>
            <w:shd w:val="clear" w:color="auto" w:fill="auto"/>
            <w:noWrap/>
            <w:vAlign w:val="center"/>
            <w:hideMark/>
          </w:tcPr>
          <w:p w14:paraId="20F13C56" w14:textId="100B284E"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-2.806 </w:t>
            </w:r>
          </w:p>
        </w:tc>
        <w:tc>
          <w:tcPr>
            <w:tcW w:w="500" w:type="pct"/>
            <w:tcBorders>
              <w:top w:val="nil"/>
              <w:left w:val="nil"/>
              <w:bottom w:val="nil"/>
              <w:right w:val="nil"/>
            </w:tcBorders>
            <w:shd w:val="clear" w:color="auto" w:fill="auto"/>
            <w:noWrap/>
            <w:vAlign w:val="center"/>
            <w:hideMark/>
          </w:tcPr>
          <w:p w14:paraId="61A48436" w14:textId="408E4185"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0.004 </w:t>
            </w:r>
          </w:p>
        </w:tc>
        <w:tc>
          <w:tcPr>
            <w:tcW w:w="500" w:type="pct"/>
            <w:gridSpan w:val="2"/>
            <w:tcBorders>
              <w:top w:val="nil"/>
              <w:left w:val="nil"/>
              <w:bottom w:val="nil"/>
              <w:right w:val="nil"/>
            </w:tcBorders>
            <w:shd w:val="clear" w:color="auto" w:fill="auto"/>
            <w:noWrap/>
            <w:vAlign w:val="center"/>
            <w:hideMark/>
          </w:tcPr>
          <w:p w14:paraId="7F70E4B4" w14:textId="088D3EE1"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0.008 </w:t>
            </w:r>
          </w:p>
        </w:tc>
        <w:tc>
          <w:tcPr>
            <w:tcW w:w="1000" w:type="pct"/>
            <w:tcBorders>
              <w:top w:val="nil"/>
              <w:left w:val="nil"/>
              <w:bottom w:val="nil"/>
              <w:right w:val="nil"/>
            </w:tcBorders>
            <w:shd w:val="clear" w:color="auto" w:fill="auto"/>
            <w:noWrap/>
            <w:vAlign w:val="bottom"/>
            <w:hideMark/>
          </w:tcPr>
          <w:p w14:paraId="2902CC79" w14:textId="4F8D1722" w:rsidR="00DA18F9" w:rsidRPr="002C3397" w:rsidRDefault="00DA18F9" w:rsidP="00DA18F9">
            <w:pPr>
              <w:widowControl/>
              <w:jc w:val="center"/>
              <w:rPr>
                <w:rFonts w:ascii="Arial" w:eastAsia="等线" w:hAnsi="Arial" w:cs="Arial"/>
                <w:color w:val="000000"/>
                <w:kern w:val="0"/>
                <w:szCs w:val="21"/>
              </w:rPr>
            </w:pPr>
            <w:r>
              <w:rPr>
                <w:rFonts w:ascii="Arial" w:eastAsia="等线" w:hAnsi="Arial" w:cs="Arial"/>
                <w:noProof/>
                <w:color w:val="000000"/>
                <w:kern w:val="0"/>
                <w:szCs w:val="21"/>
              </w:rPr>
              <w:t>[</w:t>
            </w:r>
            <w:r w:rsidR="00F05D34">
              <w:rPr>
                <w:rFonts w:ascii="Arial" w:eastAsia="等线" w:hAnsi="Arial" w:cs="Arial"/>
                <w:noProof/>
                <w:color w:val="000000"/>
                <w:kern w:val="0"/>
                <w:szCs w:val="21"/>
              </w:rPr>
              <w:t>240</w:t>
            </w:r>
            <w:r>
              <w:rPr>
                <w:rFonts w:ascii="Arial" w:eastAsia="等线" w:hAnsi="Arial" w:cs="Arial"/>
                <w:noProof/>
                <w:color w:val="000000"/>
                <w:kern w:val="0"/>
                <w:szCs w:val="21"/>
              </w:rPr>
              <w:t>]</w:t>
            </w:r>
          </w:p>
        </w:tc>
      </w:tr>
      <w:tr w:rsidR="00DA18F9" w:rsidRPr="002C3397" w14:paraId="14154EE4"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0118FCDD" w14:textId="1ED01909" w:rsidR="00DA18F9" w:rsidRPr="002C3397" w:rsidRDefault="00DA18F9" w:rsidP="00DA18F9">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ENSMUSG00000028602</w:t>
            </w:r>
          </w:p>
        </w:tc>
        <w:tc>
          <w:tcPr>
            <w:tcW w:w="916" w:type="pct"/>
            <w:gridSpan w:val="2"/>
            <w:tcBorders>
              <w:top w:val="nil"/>
              <w:left w:val="nil"/>
              <w:bottom w:val="nil"/>
              <w:right w:val="nil"/>
            </w:tcBorders>
            <w:shd w:val="clear" w:color="auto" w:fill="auto"/>
            <w:noWrap/>
            <w:vAlign w:val="center"/>
            <w:hideMark/>
          </w:tcPr>
          <w:p w14:paraId="36A94CAE" w14:textId="7FC7AF59" w:rsidR="00DA18F9" w:rsidRPr="002C3397" w:rsidRDefault="00DA18F9" w:rsidP="00DA18F9">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Tnfrsf8</w:t>
            </w:r>
          </w:p>
        </w:tc>
        <w:tc>
          <w:tcPr>
            <w:tcW w:w="1169" w:type="pct"/>
            <w:tcBorders>
              <w:top w:val="nil"/>
              <w:left w:val="nil"/>
              <w:bottom w:val="nil"/>
              <w:right w:val="nil"/>
            </w:tcBorders>
            <w:shd w:val="clear" w:color="auto" w:fill="auto"/>
            <w:noWrap/>
            <w:vAlign w:val="center"/>
            <w:hideMark/>
          </w:tcPr>
          <w:p w14:paraId="17EF7100" w14:textId="2DCDFA61"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2.936 </w:t>
            </w:r>
          </w:p>
        </w:tc>
        <w:tc>
          <w:tcPr>
            <w:tcW w:w="500" w:type="pct"/>
            <w:tcBorders>
              <w:top w:val="nil"/>
              <w:left w:val="nil"/>
              <w:bottom w:val="nil"/>
              <w:right w:val="nil"/>
            </w:tcBorders>
            <w:shd w:val="clear" w:color="auto" w:fill="auto"/>
            <w:noWrap/>
            <w:vAlign w:val="center"/>
            <w:hideMark/>
          </w:tcPr>
          <w:p w14:paraId="57CEDE5F" w14:textId="117643A9"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0.004 </w:t>
            </w:r>
          </w:p>
        </w:tc>
        <w:tc>
          <w:tcPr>
            <w:tcW w:w="500" w:type="pct"/>
            <w:gridSpan w:val="2"/>
            <w:tcBorders>
              <w:top w:val="nil"/>
              <w:left w:val="nil"/>
              <w:bottom w:val="nil"/>
              <w:right w:val="nil"/>
            </w:tcBorders>
            <w:shd w:val="clear" w:color="auto" w:fill="auto"/>
            <w:noWrap/>
            <w:vAlign w:val="center"/>
            <w:hideMark/>
          </w:tcPr>
          <w:p w14:paraId="3635C664" w14:textId="1D81F937"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0.008 </w:t>
            </w:r>
          </w:p>
        </w:tc>
        <w:tc>
          <w:tcPr>
            <w:tcW w:w="1000" w:type="pct"/>
            <w:tcBorders>
              <w:top w:val="nil"/>
              <w:left w:val="nil"/>
              <w:bottom w:val="nil"/>
              <w:right w:val="nil"/>
            </w:tcBorders>
            <w:shd w:val="clear" w:color="auto" w:fill="auto"/>
            <w:noWrap/>
            <w:vAlign w:val="bottom"/>
            <w:hideMark/>
          </w:tcPr>
          <w:p w14:paraId="4808C90A" w14:textId="51CC3346" w:rsidR="00DA18F9" w:rsidRPr="002C3397" w:rsidRDefault="00DA18F9" w:rsidP="00DA18F9">
            <w:pPr>
              <w:widowControl/>
              <w:jc w:val="center"/>
              <w:rPr>
                <w:rFonts w:ascii="Arial" w:eastAsia="等线" w:hAnsi="Arial" w:cs="Arial"/>
                <w:color w:val="000000"/>
                <w:kern w:val="0"/>
                <w:szCs w:val="21"/>
              </w:rPr>
            </w:pPr>
            <w:r>
              <w:rPr>
                <w:rFonts w:ascii="Arial" w:eastAsia="等线" w:hAnsi="Arial" w:cs="Arial"/>
                <w:noProof/>
                <w:color w:val="000000"/>
                <w:kern w:val="0"/>
                <w:szCs w:val="21"/>
              </w:rPr>
              <w:t>[</w:t>
            </w:r>
            <w:r w:rsidR="00F05D34">
              <w:rPr>
                <w:rFonts w:ascii="Arial" w:eastAsia="等线" w:hAnsi="Arial" w:cs="Arial"/>
                <w:noProof/>
                <w:color w:val="000000"/>
                <w:kern w:val="0"/>
                <w:szCs w:val="21"/>
              </w:rPr>
              <w:t>241</w:t>
            </w:r>
            <w:r>
              <w:rPr>
                <w:rFonts w:ascii="Arial" w:eastAsia="等线" w:hAnsi="Arial" w:cs="Arial"/>
                <w:noProof/>
                <w:color w:val="000000"/>
                <w:kern w:val="0"/>
                <w:szCs w:val="21"/>
              </w:rPr>
              <w:t>]</w:t>
            </w:r>
          </w:p>
        </w:tc>
      </w:tr>
      <w:tr w:rsidR="00DA18F9" w:rsidRPr="002C3397" w14:paraId="389BC454"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10803488" w14:textId="759505D6" w:rsidR="00DA18F9" w:rsidRPr="002C3397" w:rsidRDefault="00DA18F9" w:rsidP="00DA18F9">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ENSMUSG00000026070</w:t>
            </w:r>
          </w:p>
        </w:tc>
        <w:tc>
          <w:tcPr>
            <w:tcW w:w="916" w:type="pct"/>
            <w:gridSpan w:val="2"/>
            <w:tcBorders>
              <w:top w:val="nil"/>
              <w:left w:val="nil"/>
              <w:bottom w:val="nil"/>
              <w:right w:val="nil"/>
            </w:tcBorders>
            <w:shd w:val="clear" w:color="auto" w:fill="auto"/>
            <w:noWrap/>
            <w:vAlign w:val="center"/>
            <w:hideMark/>
          </w:tcPr>
          <w:p w14:paraId="216C059F" w14:textId="3C11A7D6" w:rsidR="00DA18F9" w:rsidRPr="002C3397" w:rsidRDefault="00DA18F9" w:rsidP="00DA18F9">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Il18r1</w:t>
            </w:r>
          </w:p>
        </w:tc>
        <w:tc>
          <w:tcPr>
            <w:tcW w:w="1169" w:type="pct"/>
            <w:tcBorders>
              <w:top w:val="nil"/>
              <w:left w:val="nil"/>
              <w:bottom w:val="nil"/>
              <w:right w:val="nil"/>
            </w:tcBorders>
            <w:shd w:val="clear" w:color="auto" w:fill="auto"/>
            <w:noWrap/>
            <w:vAlign w:val="center"/>
            <w:hideMark/>
          </w:tcPr>
          <w:p w14:paraId="482071CA" w14:textId="6FEDEA44"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-2.041 </w:t>
            </w:r>
          </w:p>
        </w:tc>
        <w:tc>
          <w:tcPr>
            <w:tcW w:w="500" w:type="pct"/>
            <w:tcBorders>
              <w:top w:val="nil"/>
              <w:left w:val="nil"/>
              <w:bottom w:val="nil"/>
              <w:right w:val="nil"/>
            </w:tcBorders>
            <w:shd w:val="clear" w:color="auto" w:fill="auto"/>
            <w:noWrap/>
            <w:vAlign w:val="center"/>
            <w:hideMark/>
          </w:tcPr>
          <w:p w14:paraId="1FBA21BC" w14:textId="7D9BEA72"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0.004 </w:t>
            </w:r>
          </w:p>
        </w:tc>
        <w:tc>
          <w:tcPr>
            <w:tcW w:w="500" w:type="pct"/>
            <w:gridSpan w:val="2"/>
            <w:tcBorders>
              <w:top w:val="nil"/>
              <w:left w:val="nil"/>
              <w:bottom w:val="nil"/>
              <w:right w:val="nil"/>
            </w:tcBorders>
            <w:shd w:val="clear" w:color="auto" w:fill="auto"/>
            <w:noWrap/>
            <w:vAlign w:val="center"/>
            <w:hideMark/>
          </w:tcPr>
          <w:p w14:paraId="42ACEA7C" w14:textId="39F021AA"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0.009 </w:t>
            </w:r>
          </w:p>
        </w:tc>
        <w:tc>
          <w:tcPr>
            <w:tcW w:w="1000" w:type="pct"/>
            <w:tcBorders>
              <w:top w:val="nil"/>
              <w:left w:val="nil"/>
              <w:bottom w:val="nil"/>
              <w:right w:val="nil"/>
            </w:tcBorders>
            <w:shd w:val="clear" w:color="auto" w:fill="auto"/>
            <w:noWrap/>
            <w:vAlign w:val="bottom"/>
            <w:hideMark/>
          </w:tcPr>
          <w:p w14:paraId="7EAC71EE" w14:textId="511CCA45" w:rsidR="00DA18F9" w:rsidRPr="002C3397" w:rsidRDefault="00DA18F9" w:rsidP="00DA18F9">
            <w:pPr>
              <w:widowControl/>
              <w:jc w:val="center"/>
              <w:rPr>
                <w:rFonts w:ascii="Arial" w:eastAsia="等线" w:hAnsi="Arial" w:cs="Arial"/>
                <w:color w:val="000000"/>
                <w:kern w:val="0"/>
                <w:szCs w:val="21"/>
              </w:rPr>
            </w:pPr>
            <w:r>
              <w:rPr>
                <w:rFonts w:ascii="Arial" w:eastAsia="等线" w:hAnsi="Arial" w:cs="Arial"/>
                <w:noProof/>
                <w:color w:val="000000"/>
                <w:kern w:val="0"/>
                <w:szCs w:val="21"/>
              </w:rPr>
              <w:t>[</w:t>
            </w:r>
            <w:r w:rsidR="00F05D34">
              <w:rPr>
                <w:rFonts w:ascii="Arial" w:eastAsia="等线" w:hAnsi="Arial" w:cs="Arial"/>
                <w:noProof/>
                <w:color w:val="000000"/>
                <w:kern w:val="0"/>
                <w:szCs w:val="21"/>
              </w:rPr>
              <w:t>242</w:t>
            </w:r>
            <w:r>
              <w:rPr>
                <w:rFonts w:ascii="Arial" w:eastAsia="等线" w:hAnsi="Arial" w:cs="Arial"/>
                <w:noProof/>
                <w:color w:val="000000"/>
                <w:kern w:val="0"/>
                <w:szCs w:val="21"/>
              </w:rPr>
              <w:t>]</w:t>
            </w:r>
          </w:p>
        </w:tc>
      </w:tr>
      <w:tr w:rsidR="00DA18F9" w:rsidRPr="002C3397" w14:paraId="28BCDC82"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4AC79093" w14:textId="0DF267A1" w:rsidR="00DA18F9" w:rsidRPr="002C3397" w:rsidRDefault="00DA18F9" w:rsidP="00DA18F9">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ENSMUSG00000026866</w:t>
            </w:r>
          </w:p>
        </w:tc>
        <w:tc>
          <w:tcPr>
            <w:tcW w:w="916" w:type="pct"/>
            <w:gridSpan w:val="2"/>
            <w:tcBorders>
              <w:top w:val="nil"/>
              <w:left w:val="nil"/>
              <w:bottom w:val="nil"/>
              <w:right w:val="nil"/>
            </w:tcBorders>
            <w:shd w:val="clear" w:color="auto" w:fill="auto"/>
            <w:noWrap/>
            <w:vAlign w:val="center"/>
            <w:hideMark/>
          </w:tcPr>
          <w:p w14:paraId="65022ADF" w14:textId="2F3FD28E" w:rsidR="00DA18F9" w:rsidRPr="002C3397" w:rsidRDefault="00DA18F9" w:rsidP="00DA18F9">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Kynu</w:t>
            </w:r>
          </w:p>
        </w:tc>
        <w:tc>
          <w:tcPr>
            <w:tcW w:w="1169" w:type="pct"/>
            <w:tcBorders>
              <w:top w:val="nil"/>
              <w:left w:val="nil"/>
              <w:bottom w:val="nil"/>
              <w:right w:val="nil"/>
            </w:tcBorders>
            <w:shd w:val="clear" w:color="auto" w:fill="auto"/>
            <w:noWrap/>
            <w:vAlign w:val="center"/>
            <w:hideMark/>
          </w:tcPr>
          <w:p w14:paraId="1F339431" w14:textId="680E5A21"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-4.760 </w:t>
            </w:r>
          </w:p>
        </w:tc>
        <w:tc>
          <w:tcPr>
            <w:tcW w:w="500" w:type="pct"/>
            <w:tcBorders>
              <w:top w:val="nil"/>
              <w:left w:val="nil"/>
              <w:bottom w:val="nil"/>
              <w:right w:val="nil"/>
            </w:tcBorders>
            <w:shd w:val="clear" w:color="auto" w:fill="auto"/>
            <w:noWrap/>
            <w:vAlign w:val="center"/>
            <w:hideMark/>
          </w:tcPr>
          <w:p w14:paraId="18C8D3DA" w14:textId="06DADB6C"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0.004 </w:t>
            </w:r>
          </w:p>
        </w:tc>
        <w:tc>
          <w:tcPr>
            <w:tcW w:w="500" w:type="pct"/>
            <w:gridSpan w:val="2"/>
            <w:tcBorders>
              <w:top w:val="nil"/>
              <w:left w:val="nil"/>
              <w:bottom w:val="nil"/>
              <w:right w:val="nil"/>
            </w:tcBorders>
            <w:shd w:val="clear" w:color="auto" w:fill="auto"/>
            <w:noWrap/>
            <w:vAlign w:val="center"/>
            <w:hideMark/>
          </w:tcPr>
          <w:p w14:paraId="6B740093" w14:textId="1B43A76F"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0.010 </w:t>
            </w:r>
          </w:p>
        </w:tc>
        <w:tc>
          <w:tcPr>
            <w:tcW w:w="1000" w:type="pct"/>
            <w:tcBorders>
              <w:top w:val="nil"/>
              <w:left w:val="nil"/>
              <w:bottom w:val="nil"/>
              <w:right w:val="nil"/>
            </w:tcBorders>
            <w:shd w:val="clear" w:color="auto" w:fill="auto"/>
            <w:noWrap/>
            <w:vAlign w:val="bottom"/>
            <w:hideMark/>
          </w:tcPr>
          <w:p w14:paraId="5C46F1F3" w14:textId="06B25161" w:rsidR="00DA18F9" w:rsidRPr="002C3397" w:rsidRDefault="00DA18F9" w:rsidP="00DA18F9">
            <w:pPr>
              <w:widowControl/>
              <w:jc w:val="center"/>
              <w:rPr>
                <w:rFonts w:ascii="Arial" w:eastAsia="等线" w:hAnsi="Arial" w:cs="Arial"/>
                <w:color w:val="000000"/>
                <w:kern w:val="0"/>
                <w:szCs w:val="21"/>
              </w:rPr>
            </w:pPr>
            <w:r>
              <w:rPr>
                <w:rFonts w:ascii="Arial" w:eastAsia="等线" w:hAnsi="Arial" w:cs="Arial"/>
                <w:noProof/>
                <w:color w:val="000000"/>
                <w:kern w:val="0"/>
                <w:szCs w:val="21"/>
              </w:rPr>
              <w:t>[</w:t>
            </w:r>
            <w:r w:rsidR="00F05D34">
              <w:rPr>
                <w:rFonts w:ascii="Arial" w:eastAsia="等线" w:hAnsi="Arial" w:cs="Arial"/>
                <w:noProof/>
                <w:color w:val="000000"/>
                <w:kern w:val="0"/>
                <w:szCs w:val="21"/>
              </w:rPr>
              <w:t>243</w:t>
            </w:r>
            <w:r>
              <w:rPr>
                <w:rFonts w:ascii="Arial" w:eastAsia="等线" w:hAnsi="Arial" w:cs="Arial"/>
                <w:noProof/>
                <w:color w:val="000000"/>
                <w:kern w:val="0"/>
                <w:szCs w:val="21"/>
              </w:rPr>
              <w:t>]</w:t>
            </w:r>
          </w:p>
        </w:tc>
      </w:tr>
      <w:tr w:rsidR="00DA18F9" w:rsidRPr="002C3397" w14:paraId="6AE51A8C"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706429E9" w14:textId="4652C22F" w:rsidR="00DA18F9" w:rsidRPr="002C3397" w:rsidRDefault="00DA18F9" w:rsidP="00DA18F9">
            <w:pPr>
              <w:widowControl/>
              <w:jc w:val="left"/>
              <w:rPr>
                <w:rFonts w:ascii="Arial" w:eastAsia="等线" w:hAnsi="Arial" w:cs="Arial"/>
                <w:color w:val="000000"/>
                <w:kern w:val="0"/>
                <w:szCs w:val="21"/>
              </w:rPr>
            </w:pPr>
            <w:bookmarkStart w:id="4" w:name="_Hlk47204831"/>
            <w:r w:rsidRPr="002C3397">
              <w:rPr>
                <w:rFonts w:ascii="Arial" w:eastAsia="等线" w:hAnsi="Arial" w:cs="Arial"/>
                <w:color w:val="000000"/>
                <w:szCs w:val="21"/>
              </w:rPr>
              <w:t>ENSMUSG00000057378</w:t>
            </w:r>
          </w:p>
        </w:tc>
        <w:tc>
          <w:tcPr>
            <w:tcW w:w="916" w:type="pct"/>
            <w:gridSpan w:val="2"/>
            <w:tcBorders>
              <w:top w:val="nil"/>
              <w:left w:val="nil"/>
              <w:bottom w:val="nil"/>
              <w:right w:val="nil"/>
            </w:tcBorders>
            <w:shd w:val="clear" w:color="auto" w:fill="auto"/>
            <w:noWrap/>
            <w:vAlign w:val="center"/>
            <w:hideMark/>
          </w:tcPr>
          <w:p w14:paraId="4DA8C2CF" w14:textId="72483642" w:rsidR="00DA18F9" w:rsidRPr="002C3397" w:rsidRDefault="00DA18F9" w:rsidP="00DA18F9">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Ryr3</w:t>
            </w:r>
          </w:p>
        </w:tc>
        <w:tc>
          <w:tcPr>
            <w:tcW w:w="1169" w:type="pct"/>
            <w:tcBorders>
              <w:top w:val="nil"/>
              <w:left w:val="nil"/>
              <w:bottom w:val="nil"/>
              <w:right w:val="nil"/>
            </w:tcBorders>
            <w:shd w:val="clear" w:color="auto" w:fill="auto"/>
            <w:noWrap/>
            <w:vAlign w:val="center"/>
            <w:hideMark/>
          </w:tcPr>
          <w:p w14:paraId="5E466014" w14:textId="2899E0D4"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4.825 </w:t>
            </w:r>
          </w:p>
        </w:tc>
        <w:tc>
          <w:tcPr>
            <w:tcW w:w="500" w:type="pct"/>
            <w:tcBorders>
              <w:top w:val="nil"/>
              <w:left w:val="nil"/>
              <w:bottom w:val="nil"/>
              <w:right w:val="nil"/>
            </w:tcBorders>
            <w:shd w:val="clear" w:color="auto" w:fill="auto"/>
            <w:noWrap/>
            <w:vAlign w:val="center"/>
            <w:hideMark/>
          </w:tcPr>
          <w:p w14:paraId="4CE0DA26" w14:textId="3144F48E"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0.004 </w:t>
            </w:r>
          </w:p>
        </w:tc>
        <w:tc>
          <w:tcPr>
            <w:tcW w:w="500" w:type="pct"/>
            <w:gridSpan w:val="2"/>
            <w:tcBorders>
              <w:top w:val="nil"/>
              <w:left w:val="nil"/>
              <w:bottom w:val="nil"/>
              <w:right w:val="nil"/>
            </w:tcBorders>
            <w:shd w:val="clear" w:color="auto" w:fill="auto"/>
            <w:noWrap/>
            <w:vAlign w:val="center"/>
            <w:hideMark/>
          </w:tcPr>
          <w:p w14:paraId="691DB972" w14:textId="2A8B59F4"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0.010 </w:t>
            </w:r>
          </w:p>
        </w:tc>
        <w:tc>
          <w:tcPr>
            <w:tcW w:w="1000" w:type="pct"/>
            <w:tcBorders>
              <w:top w:val="nil"/>
              <w:left w:val="nil"/>
              <w:bottom w:val="nil"/>
              <w:right w:val="nil"/>
            </w:tcBorders>
            <w:shd w:val="clear" w:color="auto" w:fill="auto"/>
            <w:noWrap/>
            <w:vAlign w:val="bottom"/>
            <w:hideMark/>
          </w:tcPr>
          <w:p w14:paraId="34603BDB" w14:textId="0DDC4313" w:rsidR="00DA18F9" w:rsidRPr="002C3397" w:rsidRDefault="00DA18F9" w:rsidP="00DA18F9">
            <w:pPr>
              <w:widowControl/>
              <w:jc w:val="center"/>
              <w:rPr>
                <w:rFonts w:ascii="Arial" w:eastAsia="等线" w:hAnsi="Arial" w:cs="Arial"/>
                <w:color w:val="000000"/>
                <w:kern w:val="0"/>
                <w:szCs w:val="21"/>
              </w:rPr>
            </w:pPr>
            <w:r>
              <w:rPr>
                <w:rFonts w:ascii="Arial" w:eastAsia="等线" w:hAnsi="Arial" w:cs="Arial"/>
                <w:noProof/>
                <w:color w:val="000000"/>
                <w:kern w:val="0"/>
                <w:szCs w:val="21"/>
              </w:rPr>
              <w:t>[</w:t>
            </w:r>
            <w:r w:rsidR="00F05D34">
              <w:rPr>
                <w:rFonts w:ascii="Arial" w:eastAsia="等线" w:hAnsi="Arial" w:cs="Arial"/>
                <w:noProof/>
                <w:color w:val="000000"/>
                <w:kern w:val="0"/>
                <w:szCs w:val="21"/>
              </w:rPr>
              <w:t>244</w:t>
            </w:r>
            <w:r>
              <w:rPr>
                <w:rFonts w:ascii="Arial" w:eastAsia="等线" w:hAnsi="Arial" w:cs="Arial"/>
                <w:noProof/>
                <w:color w:val="000000"/>
                <w:kern w:val="0"/>
                <w:szCs w:val="21"/>
              </w:rPr>
              <w:t>]</w:t>
            </w:r>
          </w:p>
        </w:tc>
      </w:tr>
      <w:bookmarkEnd w:id="4"/>
      <w:tr w:rsidR="00DA18F9" w:rsidRPr="002C3397" w14:paraId="6933BD14"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72384C77" w14:textId="7D632C17" w:rsidR="00DA18F9" w:rsidRPr="002C3397" w:rsidRDefault="00DA18F9" w:rsidP="00DA18F9">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ENSMUSG00000063415</w:t>
            </w:r>
          </w:p>
        </w:tc>
        <w:tc>
          <w:tcPr>
            <w:tcW w:w="916" w:type="pct"/>
            <w:gridSpan w:val="2"/>
            <w:tcBorders>
              <w:top w:val="nil"/>
              <w:left w:val="nil"/>
              <w:bottom w:val="nil"/>
              <w:right w:val="nil"/>
            </w:tcBorders>
            <w:shd w:val="clear" w:color="auto" w:fill="auto"/>
            <w:noWrap/>
            <w:vAlign w:val="center"/>
            <w:hideMark/>
          </w:tcPr>
          <w:p w14:paraId="74DA68BD" w14:textId="5E616148" w:rsidR="00DA18F9" w:rsidRPr="002C3397" w:rsidRDefault="00DA18F9" w:rsidP="00DA18F9">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Cyp26b1</w:t>
            </w:r>
          </w:p>
        </w:tc>
        <w:tc>
          <w:tcPr>
            <w:tcW w:w="1169" w:type="pct"/>
            <w:tcBorders>
              <w:top w:val="nil"/>
              <w:left w:val="nil"/>
              <w:bottom w:val="nil"/>
              <w:right w:val="nil"/>
            </w:tcBorders>
            <w:shd w:val="clear" w:color="auto" w:fill="auto"/>
            <w:noWrap/>
            <w:vAlign w:val="center"/>
            <w:hideMark/>
          </w:tcPr>
          <w:p w14:paraId="79F11012" w14:textId="528C0E21"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4.825 </w:t>
            </w:r>
          </w:p>
        </w:tc>
        <w:tc>
          <w:tcPr>
            <w:tcW w:w="500" w:type="pct"/>
            <w:tcBorders>
              <w:top w:val="nil"/>
              <w:left w:val="nil"/>
              <w:bottom w:val="nil"/>
              <w:right w:val="nil"/>
            </w:tcBorders>
            <w:shd w:val="clear" w:color="auto" w:fill="auto"/>
            <w:noWrap/>
            <w:vAlign w:val="center"/>
            <w:hideMark/>
          </w:tcPr>
          <w:p w14:paraId="300274A8" w14:textId="3C0CBF75"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0.004 </w:t>
            </w:r>
          </w:p>
        </w:tc>
        <w:tc>
          <w:tcPr>
            <w:tcW w:w="500" w:type="pct"/>
            <w:gridSpan w:val="2"/>
            <w:tcBorders>
              <w:top w:val="nil"/>
              <w:left w:val="nil"/>
              <w:bottom w:val="nil"/>
              <w:right w:val="nil"/>
            </w:tcBorders>
            <w:shd w:val="clear" w:color="auto" w:fill="auto"/>
            <w:noWrap/>
            <w:vAlign w:val="center"/>
            <w:hideMark/>
          </w:tcPr>
          <w:p w14:paraId="69421D15" w14:textId="0658C24B"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0.010 </w:t>
            </w:r>
          </w:p>
        </w:tc>
        <w:tc>
          <w:tcPr>
            <w:tcW w:w="1000" w:type="pct"/>
            <w:tcBorders>
              <w:top w:val="nil"/>
              <w:left w:val="nil"/>
              <w:bottom w:val="nil"/>
              <w:right w:val="nil"/>
            </w:tcBorders>
            <w:shd w:val="clear" w:color="auto" w:fill="auto"/>
            <w:noWrap/>
            <w:vAlign w:val="bottom"/>
            <w:hideMark/>
          </w:tcPr>
          <w:p w14:paraId="2862967B" w14:textId="54190B95" w:rsidR="00DA18F9" w:rsidRPr="002C3397" w:rsidRDefault="00DA18F9" w:rsidP="00DA18F9">
            <w:pPr>
              <w:widowControl/>
              <w:jc w:val="center"/>
              <w:rPr>
                <w:rFonts w:ascii="Arial" w:eastAsia="等线" w:hAnsi="Arial" w:cs="Arial"/>
                <w:color w:val="000000"/>
                <w:kern w:val="0"/>
                <w:szCs w:val="21"/>
              </w:rPr>
            </w:pPr>
            <w:r>
              <w:rPr>
                <w:rFonts w:ascii="Arial" w:eastAsia="等线" w:hAnsi="Arial" w:cs="Arial"/>
                <w:noProof/>
                <w:color w:val="000000"/>
                <w:kern w:val="0"/>
                <w:szCs w:val="21"/>
              </w:rPr>
              <w:t>[</w:t>
            </w:r>
            <w:r w:rsidR="00F05D34">
              <w:rPr>
                <w:rFonts w:ascii="Arial" w:eastAsia="等线" w:hAnsi="Arial" w:cs="Arial"/>
                <w:noProof/>
                <w:color w:val="000000"/>
                <w:kern w:val="0"/>
                <w:szCs w:val="21"/>
              </w:rPr>
              <w:t>245</w:t>
            </w:r>
            <w:r>
              <w:rPr>
                <w:rFonts w:ascii="Arial" w:eastAsia="等线" w:hAnsi="Arial" w:cs="Arial"/>
                <w:noProof/>
                <w:color w:val="000000"/>
                <w:kern w:val="0"/>
                <w:szCs w:val="21"/>
              </w:rPr>
              <w:t>]</w:t>
            </w:r>
          </w:p>
        </w:tc>
      </w:tr>
      <w:tr w:rsidR="00DA18F9" w:rsidRPr="002C3397" w14:paraId="76FC5B46"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00E9A4A7" w14:textId="4150EDC9" w:rsidR="00DA18F9" w:rsidRPr="002C3397" w:rsidRDefault="00DA18F9" w:rsidP="00DA18F9">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ENSMUSG00000030162</w:t>
            </w:r>
          </w:p>
        </w:tc>
        <w:tc>
          <w:tcPr>
            <w:tcW w:w="916" w:type="pct"/>
            <w:gridSpan w:val="2"/>
            <w:tcBorders>
              <w:top w:val="nil"/>
              <w:left w:val="nil"/>
              <w:bottom w:val="nil"/>
              <w:right w:val="nil"/>
            </w:tcBorders>
            <w:shd w:val="clear" w:color="auto" w:fill="auto"/>
            <w:noWrap/>
            <w:vAlign w:val="center"/>
            <w:hideMark/>
          </w:tcPr>
          <w:p w14:paraId="1E5E3BDD" w14:textId="339EA7CC" w:rsidR="00DA18F9" w:rsidRPr="002C3397" w:rsidRDefault="00DA18F9" w:rsidP="00DA18F9">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Olr1</w:t>
            </w:r>
          </w:p>
        </w:tc>
        <w:tc>
          <w:tcPr>
            <w:tcW w:w="1169" w:type="pct"/>
            <w:tcBorders>
              <w:top w:val="nil"/>
              <w:left w:val="nil"/>
              <w:bottom w:val="nil"/>
              <w:right w:val="nil"/>
            </w:tcBorders>
            <w:shd w:val="clear" w:color="auto" w:fill="auto"/>
            <w:noWrap/>
            <w:vAlign w:val="center"/>
            <w:hideMark/>
          </w:tcPr>
          <w:p w14:paraId="202B52AC" w14:textId="298AC9EE"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4.825 </w:t>
            </w:r>
          </w:p>
        </w:tc>
        <w:tc>
          <w:tcPr>
            <w:tcW w:w="500" w:type="pct"/>
            <w:tcBorders>
              <w:top w:val="nil"/>
              <w:left w:val="nil"/>
              <w:bottom w:val="nil"/>
              <w:right w:val="nil"/>
            </w:tcBorders>
            <w:shd w:val="clear" w:color="auto" w:fill="auto"/>
            <w:noWrap/>
            <w:vAlign w:val="center"/>
            <w:hideMark/>
          </w:tcPr>
          <w:p w14:paraId="390F571B" w14:textId="39C44B1F"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0.004 </w:t>
            </w:r>
          </w:p>
        </w:tc>
        <w:tc>
          <w:tcPr>
            <w:tcW w:w="500" w:type="pct"/>
            <w:gridSpan w:val="2"/>
            <w:tcBorders>
              <w:top w:val="nil"/>
              <w:left w:val="nil"/>
              <w:bottom w:val="nil"/>
              <w:right w:val="nil"/>
            </w:tcBorders>
            <w:shd w:val="clear" w:color="auto" w:fill="auto"/>
            <w:noWrap/>
            <w:vAlign w:val="center"/>
            <w:hideMark/>
          </w:tcPr>
          <w:p w14:paraId="1C8D7500" w14:textId="42FAB1AE"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0.010 </w:t>
            </w:r>
          </w:p>
        </w:tc>
        <w:tc>
          <w:tcPr>
            <w:tcW w:w="1000" w:type="pct"/>
            <w:tcBorders>
              <w:top w:val="nil"/>
              <w:left w:val="nil"/>
              <w:bottom w:val="nil"/>
              <w:right w:val="nil"/>
            </w:tcBorders>
            <w:shd w:val="clear" w:color="auto" w:fill="auto"/>
            <w:noWrap/>
            <w:vAlign w:val="bottom"/>
            <w:hideMark/>
          </w:tcPr>
          <w:p w14:paraId="79CE360C" w14:textId="33A614C1"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70</w:t>
            </w:r>
            <w:r w:rsidRPr="002C3397">
              <w:rPr>
                <w:rFonts w:ascii="Arial" w:eastAsia="等线" w:hAnsi="Arial" w:cs="Arial"/>
                <w:noProof/>
                <w:color w:val="000000"/>
                <w:kern w:val="0"/>
                <w:szCs w:val="21"/>
              </w:rPr>
              <w:t>]</w:t>
            </w:r>
          </w:p>
        </w:tc>
      </w:tr>
      <w:tr w:rsidR="00DA18F9" w:rsidRPr="002C3397" w14:paraId="4C8491F7"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4A468271" w14:textId="7A4771DD" w:rsidR="00DA18F9" w:rsidRPr="002C3397" w:rsidRDefault="00DA18F9" w:rsidP="00DA18F9">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ENSMUSG00000038146</w:t>
            </w:r>
          </w:p>
        </w:tc>
        <w:tc>
          <w:tcPr>
            <w:tcW w:w="916" w:type="pct"/>
            <w:gridSpan w:val="2"/>
            <w:tcBorders>
              <w:top w:val="nil"/>
              <w:left w:val="nil"/>
              <w:bottom w:val="nil"/>
              <w:right w:val="nil"/>
            </w:tcBorders>
            <w:shd w:val="clear" w:color="auto" w:fill="auto"/>
            <w:noWrap/>
            <w:vAlign w:val="center"/>
            <w:hideMark/>
          </w:tcPr>
          <w:p w14:paraId="0E070631" w14:textId="64297CF3" w:rsidR="00DA18F9" w:rsidRPr="002C3397" w:rsidRDefault="00DA18F9" w:rsidP="00DA18F9">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Notch3</w:t>
            </w:r>
          </w:p>
        </w:tc>
        <w:tc>
          <w:tcPr>
            <w:tcW w:w="1169" w:type="pct"/>
            <w:tcBorders>
              <w:top w:val="nil"/>
              <w:left w:val="nil"/>
              <w:bottom w:val="nil"/>
              <w:right w:val="nil"/>
            </w:tcBorders>
            <w:shd w:val="clear" w:color="auto" w:fill="auto"/>
            <w:noWrap/>
            <w:vAlign w:val="center"/>
            <w:hideMark/>
          </w:tcPr>
          <w:p w14:paraId="3E8530CF" w14:textId="179764C5"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4.825 </w:t>
            </w:r>
          </w:p>
        </w:tc>
        <w:tc>
          <w:tcPr>
            <w:tcW w:w="500" w:type="pct"/>
            <w:tcBorders>
              <w:top w:val="nil"/>
              <w:left w:val="nil"/>
              <w:bottom w:val="nil"/>
              <w:right w:val="nil"/>
            </w:tcBorders>
            <w:shd w:val="clear" w:color="auto" w:fill="auto"/>
            <w:noWrap/>
            <w:vAlign w:val="center"/>
            <w:hideMark/>
          </w:tcPr>
          <w:p w14:paraId="16AE5915" w14:textId="23EE97C8"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0.004 </w:t>
            </w:r>
          </w:p>
        </w:tc>
        <w:tc>
          <w:tcPr>
            <w:tcW w:w="500" w:type="pct"/>
            <w:gridSpan w:val="2"/>
            <w:tcBorders>
              <w:top w:val="nil"/>
              <w:left w:val="nil"/>
              <w:bottom w:val="nil"/>
              <w:right w:val="nil"/>
            </w:tcBorders>
            <w:shd w:val="clear" w:color="auto" w:fill="auto"/>
            <w:noWrap/>
            <w:vAlign w:val="center"/>
            <w:hideMark/>
          </w:tcPr>
          <w:p w14:paraId="399C32FA" w14:textId="591159A9"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0.010 </w:t>
            </w:r>
          </w:p>
        </w:tc>
        <w:tc>
          <w:tcPr>
            <w:tcW w:w="1000" w:type="pct"/>
            <w:tcBorders>
              <w:top w:val="nil"/>
              <w:left w:val="nil"/>
              <w:bottom w:val="nil"/>
              <w:right w:val="nil"/>
            </w:tcBorders>
            <w:shd w:val="clear" w:color="auto" w:fill="auto"/>
            <w:noWrap/>
            <w:vAlign w:val="bottom"/>
            <w:hideMark/>
          </w:tcPr>
          <w:p w14:paraId="385C6B13" w14:textId="61344F18" w:rsidR="00DA18F9" w:rsidRPr="002C3397" w:rsidRDefault="00DA18F9" w:rsidP="00DA18F9">
            <w:pPr>
              <w:widowControl/>
              <w:jc w:val="center"/>
              <w:rPr>
                <w:rFonts w:ascii="Arial" w:eastAsia="等线" w:hAnsi="Arial" w:cs="Arial"/>
                <w:color w:val="000000"/>
                <w:kern w:val="0"/>
                <w:szCs w:val="21"/>
              </w:rPr>
            </w:pPr>
            <w:r>
              <w:rPr>
                <w:rFonts w:ascii="Arial" w:eastAsia="等线" w:hAnsi="Arial" w:cs="Arial"/>
                <w:noProof/>
                <w:color w:val="000000"/>
                <w:kern w:val="0"/>
                <w:szCs w:val="21"/>
              </w:rPr>
              <w:t>[</w:t>
            </w:r>
            <w:r w:rsidR="00F05D34">
              <w:rPr>
                <w:rFonts w:ascii="Arial" w:eastAsia="等线" w:hAnsi="Arial" w:cs="Arial"/>
                <w:noProof/>
                <w:color w:val="000000"/>
                <w:kern w:val="0"/>
                <w:szCs w:val="21"/>
              </w:rPr>
              <w:t>246</w:t>
            </w:r>
            <w:r>
              <w:rPr>
                <w:rFonts w:ascii="Arial" w:eastAsia="等线" w:hAnsi="Arial" w:cs="Arial"/>
                <w:noProof/>
                <w:color w:val="000000"/>
                <w:kern w:val="0"/>
                <w:szCs w:val="21"/>
              </w:rPr>
              <w:t>]</w:t>
            </w:r>
          </w:p>
        </w:tc>
      </w:tr>
      <w:tr w:rsidR="00DA18F9" w:rsidRPr="002C3397" w14:paraId="14859E8C"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14E0974F" w14:textId="4AE13C55" w:rsidR="00DA18F9" w:rsidRPr="002C3397" w:rsidRDefault="00DA18F9" w:rsidP="00DA18F9">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ENSMUSG00000015355</w:t>
            </w:r>
          </w:p>
        </w:tc>
        <w:tc>
          <w:tcPr>
            <w:tcW w:w="916" w:type="pct"/>
            <w:gridSpan w:val="2"/>
            <w:tcBorders>
              <w:top w:val="nil"/>
              <w:left w:val="nil"/>
              <w:bottom w:val="nil"/>
              <w:right w:val="nil"/>
            </w:tcBorders>
            <w:shd w:val="clear" w:color="auto" w:fill="auto"/>
            <w:noWrap/>
            <w:vAlign w:val="center"/>
            <w:hideMark/>
          </w:tcPr>
          <w:p w14:paraId="07197EBB" w14:textId="1AB8FD8A" w:rsidR="00DA18F9" w:rsidRPr="002C3397" w:rsidRDefault="00DA18F9" w:rsidP="00DA18F9">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Cd48</w:t>
            </w:r>
          </w:p>
        </w:tc>
        <w:tc>
          <w:tcPr>
            <w:tcW w:w="1169" w:type="pct"/>
            <w:tcBorders>
              <w:top w:val="nil"/>
              <w:left w:val="nil"/>
              <w:bottom w:val="nil"/>
              <w:right w:val="nil"/>
            </w:tcBorders>
            <w:shd w:val="clear" w:color="auto" w:fill="auto"/>
            <w:noWrap/>
            <w:vAlign w:val="center"/>
            <w:hideMark/>
          </w:tcPr>
          <w:p w14:paraId="781F74EB" w14:textId="3F1ECCE6"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-2.081 </w:t>
            </w:r>
          </w:p>
        </w:tc>
        <w:tc>
          <w:tcPr>
            <w:tcW w:w="500" w:type="pct"/>
            <w:tcBorders>
              <w:top w:val="nil"/>
              <w:left w:val="nil"/>
              <w:bottom w:val="nil"/>
              <w:right w:val="nil"/>
            </w:tcBorders>
            <w:shd w:val="clear" w:color="auto" w:fill="auto"/>
            <w:noWrap/>
            <w:vAlign w:val="center"/>
            <w:hideMark/>
          </w:tcPr>
          <w:p w14:paraId="69D542EB" w14:textId="02671E7F"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0.005 </w:t>
            </w:r>
          </w:p>
        </w:tc>
        <w:tc>
          <w:tcPr>
            <w:tcW w:w="500" w:type="pct"/>
            <w:gridSpan w:val="2"/>
            <w:tcBorders>
              <w:top w:val="nil"/>
              <w:left w:val="nil"/>
              <w:bottom w:val="nil"/>
              <w:right w:val="nil"/>
            </w:tcBorders>
            <w:shd w:val="clear" w:color="auto" w:fill="auto"/>
            <w:noWrap/>
            <w:vAlign w:val="center"/>
            <w:hideMark/>
          </w:tcPr>
          <w:p w14:paraId="357532C6" w14:textId="0F704DE6"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0.012 </w:t>
            </w:r>
          </w:p>
        </w:tc>
        <w:tc>
          <w:tcPr>
            <w:tcW w:w="1000" w:type="pct"/>
            <w:tcBorders>
              <w:top w:val="nil"/>
              <w:left w:val="nil"/>
              <w:bottom w:val="nil"/>
              <w:right w:val="nil"/>
            </w:tcBorders>
            <w:shd w:val="clear" w:color="auto" w:fill="auto"/>
            <w:noWrap/>
            <w:vAlign w:val="bottom"/>
            <w:hideMark/>
          </w:tcPr>
          <w:p w14:paraId="6C29A401" w14:textId="284D505E" w:rsidR="00DA18F9" w:rsidRPr="002C3397" w:rsidRDefault="00DA18F9" w:rsidP="00DA18F9">
            <w:pPr>
              <w:widowControl/>
              <w:jc w:val="center"/>
              <w:rPr>
                <w:rFonts w:ascii="Arial" w:eastAsia="等线" w:hAnsi="Arial" w:cs="Arial"/>
                <w:color w:val="000000"/>
                <w:kern w:val="0"/>
                <w:szCs w:val="21"/>
              </w:rPr>
            </w:pPr>
            <w:r>
              <w:rPr>
                <w:rFonts w:ascii="Arial" w:eastAsia="等线" w:hAnsi="Arial" w:cs="Arial"/>
                <w:noProof/>
                <w:color w:val="000000"/>
                <w:kern w:val="0"/>
                <w:szCs w:val="21"/>
              </w:rPr>
              <w:t>[</w:t>
            </w:r>
            <w:r w:rsidR="00F05D34">
              <w:rPr>
                <w:rFonts w:ascii="Arial" w:eastAsia="等线" w:hAnsi="Arial" w:cs="Arial"/>
                <w:noProof/>
                <w:color w:val="000000"/>
                <w:kern w:val="0"/>
                <w:szCs w:val="21"/>
              </w:rPr>
              <w:t>246</w:t>
            </w:r>
            <w:r>
              <w:rPr>
                <w:rFonts w:ascii="Arial" w:eastAsia="等线" w:hAnsi="Arial" w:cs="Arial"/>
                <w:noProof/>
                <w:color w:val="000000"/>
                <w:kern w:val="0"/>
                <w:szCs w:val="21"/>
              </w:rPr>
              <w:t>]</w:t>
            </w:r>
          </w:p>
        </w:tc>
      </w:tr>
      <w:tr w:rsidR="00DA18F9" w:rsidRPr="002C3397" w14:paraId="21295937"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65200ECA" w14:textId="74BAEE0B" w:rsidR="00DA18F9" w:rsidRPr="002C3397" w:rsidRDefault="00DA18F9" w:rsidP="00DA18F9">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ENSMUSG00000033208</w:t>
            </w:r>
          </w:p>
        </w:tc>
        <w:tc>
          <w:tcPr>
            <w:tcW w:w="916" w:type="pct"/>
            <w:gridSpan w:val="2"/>
            <w:tcBorders>
              <w:top w:val="nil"/>
              <w:left w:val="nil"/>
              <w:bottom w:val="nil"/>
              <w:right w:val="nil"/>
            </w:tcBorders>
            <w:shd w:val="clear" w:color="auto" w:fill="auto"/>
            <w:noWrap/>
            <w:vAlign w:val="center"/>
            <w:hideMark/>
          </w:tcPr>
          <w:p w14:paraId="19E4427D" w14:textId="557D2E2C" w:rsidR="00DA18F9" w:rsidRPr="002C3397" w:rsidRDefault="00DA18F9" w:rsidP="00DA18F9">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S100b</w:t>
            </w:r>
          </w:p>
        </w:tc>
        <w:tc>
          <w:tcPr>
            <w:tcW w:w="1169" w:type="pct"/>
            <w:tcBorders>
              <w:top w:val="nil"/>
              <w:left w:val="nil"/>
              <w:bottom w:val="nil"/>
              <w:right w:val="nil"/>
            </w:tcBorders>
            <w:shd w:val="clear" w:color="auto" w:fill="auto"/>
            <w:noWrap/>
            <w:vAlign w:val="center"/>
            <w:hideMark/>
          </w:tcPr>
          <w:p w14:paraId="64D7667C" w14:textId="308F37D5"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2.002 </w:t>
            </w:r>
          </w:p>
        </w:tc>
        <w:tc>
          <w:tcPr>
            <w:tcW w:w="500" w:type="pct"/>
            <w:tcBorders>
              <w:top w:val="nil"/>
              <w:left w:val="nil"/>
              <w:bottom w:val="nil"/>
              <w:right w:val="nil"/>
            </w:tcBorders>
            <w:shd w:val="clear" w:color="auto" w:fill="auto"/>
            <w:noWrap/>
            <w:vAlign w:val="center"/>
            <w:hideMark/>
          </w:tcPr>
          <w:p w14:paraId="3683A247" w14:textId="05255033"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0.005 </w:t>
            </w:r>
          </w:p>
        </w:tc>
        <w:tc>
          <w:tcPr>
            <w:tcW w:w="500" w:type="pct"/>
            <w:gridSpan w:val="2"/>
            <w:tcBorders>
              <w:top w:val="nil"/>
              <w:left w:val="nil"/>
              <w:bottom w:val="nil"/>
              <w:right w:val="nil"/>
            </w:tcBorders>
            <w:shd w:val="clear" w:color="auto" w:fill="auto"/>
            <w:noWrap/>
            <w:vAlign w:val="center"/>
            <w:hideMark/>
          </w:tcPr>
          <w:p w14:paraId="72F5419A" w14:textId="3DBFE151"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0.012 </w:t>
            </w:r>
          </w:p>
        </w:tc>
        <w:tc>
          <w:tcPr>
            <w:tcW w:w="1000" w:type="pct"/>
            <w:tcBorders>
              <w:top w:val="nil"/>
              <w:left w:val="nil"/>
              <w:bottom w:val="nil"/>
              <w:right w:val="nil"/>
            </w:tcBorders>
            <w:shd w:val="clear" w:color="auto" w:fill="auto"/>
            <w:noWrap/>
            <w:vAlign w:val="bottom"/>
            <w:hideMark/>
          </w:tcPr>
          <w:p w14:paraId="45E2998C" w14:textId="217BF590" w:rsidR="00DA18F9" w:rsidRPr="002C3397" w:rsidRDefault="00DA18F9" w:rsidP="00DA18F9">
            <w:pPr>
              <w:widowControl/>
              <w:jc w:val="center"/>
              <w:rPr>
                <w:rFonts w:ascii="Arial" w:eastAsia="等线" w:hAnsi="Arial" w:cs="Arial"/>
                <w:color w:val="000000"/>
                <w:kern w:val="0"/>
                <w:szCs w:val="21"/>
              </w:rPr>
            </w:pPr>
            <w:r>
              <w:rPr>
                <w:rFonts w:ascii="Arial" w:eastAsia="等线" w:hAnsi="Arial" w:cs="Arial"/>
                <w:noProof/>
                <w:color w:val="000000"/>
                <w:kern w:val="0"/>
                <w:szCs w:val="21"/>
              </w:rPr>
              <w:t>[</w:t>
            </w:r>
            <w:r w:rsidR="00F05D34">
              <w:rPr>
                <w:rFonts w:ascii="Arial" w:eastAsia="等线" w:hAnsi="Arial" w:cs="Arial"/>
                <w:noProof/>
                <w:color w:val="000000"/>
                <w:kern w:val="0"/>
                <w:szCs w:val="21"/>
              </w:rPr>
              <w:t>247</w:t>
            </w:r>
            <w:r>
              <w:rPr>
                <w:rFonts w:ascii="Arial" w:eastAsia="等线" w:hAnsi="Arial" w:cs="Arial"/>
                <w:noProof/>
                <w:color w:val="000000"/>
                <w:kern w:val="0"/>
                <w:szCs w:val="21"/>
              </w:rPr>
              <w:t>]</w:t>
            </w:r>
          </w:p>
        </w:tc>
      </w:tr>
      <w:tr w:rsidR="00DA18F9" w:rsidRPr="002C3397" w14:paraId="5CFB9200"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4A506627" w14:textId="2AADE33E" w:rsidR="00DA18F9" w:rsidRPr="002C3397" w:rsidRDefault="00DA18F9" w:rsidP="00DA18F9">
            <w:pPr>
              <w:widowControl/>
              <w:jc w:val="left"/>
              <w:rPr>
                <w:rFonts w:ascii="Arial" w:eastAsia="等线" w:hAnsi="Arial" w:cs="Arial"/>
                <w:color w:val="000000"/>
                <w:kern w:val="0"/>
                <w:szCs w:val="21"/>
              </w:rPr>
            </w:pPr>
            <w:bookmarkStart w:id="5" w:name="_Hlk47209291"/>
            <w:r w:rsidRPr="002C3397">
              <w:rPr>
                <w:rFonts w:ascii="Arial" w:eastAsia="等线" w:hAnsi="Arial" w:cs="Arial"/>
                <w:color w:val="000000"/>
                <w:szCs w:val="21"/>
              </w:rPr>
              <w:t>ENSMUSG00000050578</w:t>
            </w:r>
          </w:p>
        </w:tc>
        <w:tc>
          <w:tcPr>
            <w:tcW w:w="916" w:type="pct"/>
            <w:gridSpan w:val="2"/>
            <w:tcBorders>
              <w:top w:val="nil"/>
              <w:left w:val="nil"/>
              <w:bottom w:val="nil"/>
              <w:right w:val="nil"/>
            </w:tcBorders>
            <w:shd w:val="clear" w:color="auto" w:fill="auto"/>
            <w:noWrap/>
            <w:vAlign w:val="center"/>
            <w:hideMark/>
          </w:tcPr>
          <w:p w14:paraId="096BB179" w14:textId="7A9F1BD6" w:rsidR="00DA18F9" w:rsidRPr="002C3397" w:rsidRDefault="00DA18F9" w:rsidP="00DA18F9">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Mmp13</w:t>
            </w:r>
          </w:p>
        </w:tc>
        <w:tc>
          <w:tcPr>
            <w:tcW w:w="1169" w:type="pct"/>
            <w:tcBorders>
              <w:top w:val="nil"/>
              <w:left w:val="nil"/>
              <w:bottom w:val="nil"/>
              <w:right w:val="nil"/>
            </w:tcBorders>
            <w:shd w:val="clear" w:color="auto" w:fill="auto"/>
            <w:noWrap/>
            <w:vAlign w:val="center"/>
            <w:hideMark/>
          </w:tcPr>
          <w:p w14:paraId="0384377E" w14:textId="0AC11A65"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2.289 </w:t>
            </w:r>
          </w:p>
        </w:tc>
        <w:tc>
          <w:tcPr>
            <w:tcW w:w="500" w:type="pct"/>
            <w:tcBorders>
              <w:top w:val="nil"/>
              <w:left w:val="nil"/>
              <w:bottom w:val="nil"/>
              <w:right w:val="nil"/>
            </w:tcBorders>
            <w:shd w:val="clear" w:color="auto" w:fill="auto"/>
            <w:noWrap/>
            <w:vAlign w:val="center"/>
            <w:hideMark/>
          </w:tcPr>
          <w:p w14:paraId="025189A9" w14:textId="7BE920A1"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0.006 </w:t>
            </w:r>
          </w:p>
        </w:tc>
        <w:tc>
          <w:tcPr>
            <w:tcW w:w="500" w:type="pct"/>
            <w:gridSpan w:val="2"/>
            <w:tcBorders>
              <w:top w:val="nil"/>
              <w:left w:val="nil"/>
              <w:bottom w:val="nil"/>
              <w:right w:val="nil"/>
            </w:tcBorders>
            <w:shd w:val="clear" w:color="auto" w:fill="auto"/>
            <w:noWrap/>
            <w:vAlign w:val="center"/>
            <w:hideMark/>
          </w:tcPr>
          <w:p w14:paraId="0D1AC44E" w14:textId="3F678AFC"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0.013 </w:t>
            </w:r>
          </w:p>
        </w:tc>
        <w:tc>
          <w:tcPr>
            <w:tcW w:w="1000" w:type="pct"/>
            <w:tcBorders>
              <w:top w:val="nil"/>
              <w:left w:val="nil"/>
              <w:bottom w:val="nil"/>
              <w:right w:val="nil"/>
            </w:tcBorders>
            <w:shd w:val="clear" w:color="auto" w:fill="auto"/>
            <w:noWrap/>
            <w:vAlign w:val="bottom"/>
            <w:hideMark/>
          </w:tcPr>
          <w:p w14:paraId="56E9A8BF" w14:textId="123A780D" w:rsidR="00DA18F9" w:rsidRPr="002C3397" w:rsidRDefault="00DA18F9" w:rsidP="00DA18F9">
            <w:pPr>
              <w:widowControl/>
              <w:jc w:val="center"/>
              <w:rPr>
                <w:rFonts w:ascii="Arial" w:eastAsia="等线" w:hAnsi="Arial" w:cs="Arial"/>
                <w:color w:val="000000"/>
                <w:kern w:val="0"/>
                <w:szCs w:val="21"/>
              </w:rPr>
            </w:pPr>
            <w:r>
              <w:rPr>
                <w:rFonts w:ascii="Arial" w:eastAsia="等线" w:hAnsi="Arial" w:cs="Arial"/>
                <w:noProof/>
                <w:color w:val="000000"/>
                <w:kern w:val="0"/>
                <w:szCs w:val="21"/>
              </w:rPr>
              <w:t>[</w:t>
            </w:r>
            <w:r w:rsidR="00F05D34">
              <w:rPr>
                <w:rFonts w:ascii="Arial" w:eastAsia="等线" w:hAnsi="Arial" w:cs="Arial"/>
                <w:noProof/>
                <w:color w:val="000000"/>
                <w:kern w:val="0"/>
                <w:szCs w:val="21"/>
              </w:rPr>
              <w:t>248</w:t>
            </w:r>
            <w:r>
              <w:rPr>
                <w:rFonts w:ascii="Arial" w:eastAsia="等线" w:hAnsi="Arial" w:cs="Arial"/>
                <w:noProof/>
                <w:color w:val="000000"/>
                <w:kern w:val="0"/>
                <w:szCs w:val="21"/>
              </w:rPr>
              <w:t>]</w:t>
            </w:r>
          </w:p>
        </w:tc>
      </w:tr>
      <w:bookmarkEnd w:id="5"/>
      <w:tr w:rsidR="00DA18F9" w:rsidRPr="002C3397" w14:paraId="03113AB4"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3A1CE6C3" w14:textId="2DB53940" w:rsidR="00DA18F9" w:rsidRPr="002C3397" w:rsidRDefault="00DA18F9" w:rsidP="00DA18F9">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ENSMUSG00000014361</w:t>
            </w:r>
          </w:p>
        </w:tc>
        <w:tc>
          <w:tcPr>
            <w:tcW w:w="916" w:type="pct"/>
            <w:gridSpan w:val="2"/>
            <w:tcBorders>
              <w:top w:val="nil"/>
              <w:left w:val="nil"/>
              <w:bottom w:val="nil"/>
              <w:right w:val="nil"/>
            </w:tcBorders>
            <w:shd w:val="clear" w:color="auto" w:fill="auto"/>
            <w:noWrap/>
            <w:vAlign w:val="center"/>
            <w:hideMark/>
          </w:tcPr>
          <w:p w14:paraId="01CD9BBD" w14:textId="7D17009F" w:rsidR="00DA18F9" w:rsidRPr="002C3397" w:rsidRDefault="00DA18F9" w:rsidP="00DA18F9">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Mertk</w:t>
            </w:r>
          </w:p>
        </w:tc>
        <w:tc>
          <w:tcPr>
            <w:tcW w:w="1169" w:type="pct"/>
            <w:tcBorders>
              <w:top w:val="nil"/>
              <w:left w:val="nil"/>
              <w:bottom w:val="nil"/>
              <w:right w:val="nil"/>
            </w:tcBorders>
            <w:shd w:val="clear" w:color="auto" w:fill="auto"/>
            <w:noWrap/>
            <w:vAlign w:val="center"/>
            <w:hideMark/>
          </w:tcPr>
          <w:p w14:paraId="47DC4D6B" w14:textId="1FA04BBD"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4.678 </w:t>
            </w:r>
          </w:p>
        </w:tc>
        <w:tc>
          <w:tcPr>
            <w:tcW w:w="500" w:type="pct"/>
            <w:tcBorders>
              <w:top w:val="nil"/>
              <w:left w:val="nil"/>
              <w:bottom w:val="nil"/>
              <w:right w:val="nil"/>
            </w:tcBorders>
            <w:shd w:val="clear" w:color="auto" w:fill="auto"/>
            <w:noWrap/>
            <w:vAlign w:val="center"/>
            <w:hideMark/>
          </w:tcPr>
          <w:p w14:paraId="6992DEB5" w14:textId="35F6A943"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0.007 </w:t>
            </w:r>
          </w:p>
        </w:tc>
        <w:tc>
          <w:tcPr>
            <w:tcW w:w="500" w:type="pct"/>
            <w:gridSpan w:val="2"/>
            <w:tcBorders>
              <w:top w:val="nil"/>
              <w:left w:val="nil"/>
              <w:bottom w:val="nil"/>
              <w:right w:val="nil"/>
            </w:tcBorders>
            <w:shd w:val="clear" w:color="auto" w:fill="auto"/>
            <w:noWrap/>
            <w:vAlign w:val="center"/>
            <w:hideMark/>
          </w:tcPr>
          <w:p w14:paraId="4276B89F" w14:textId="6508E548"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0.016 </w:t>
            </w:r>
          </w:p>
        </w:tc>
        <w:tc>
          <w:tcPr>
            <w:tcW w:w="1000" w:type="pct"/>
            <w:tcBorders>
              <w:top w:val="nil"/>
              <w:left w:val="nil"/>
              <w:bottom w:val="nil"/>
              <w:right w:val="nil"/>
            </w:tcBorders>
            <w:shd w:val="clear" w:color="auto" w:fill="auto"/>
            <w:noWrap/>
            <w:vAlign w:val="bottom"/>
            <w:hideMark/>
          </w:tcPr>
          <w:p w14:paraId="5F9570B2" w14:textId="7961D00B" w:rsidR="00DA18F9" w:rsidRPr="002C3397" w:rsidRDefault="00DA18F9" w:rsidP="00DA18F9">
            <w:pPr>
              <w:widowControl/>
              <w:jc w:val="center"/>
              <w:rPr>
                <w:rFonts w:ascii="Arial" w:eastAsia="等线" w:hAnsi="Arial" w:cs="Arial"/>
                <w:color w:val="000000"/>
                <w:kern w:val="0"/>
                <w:szCs w:val="21"/>
              </w:rPr>
            </w:pPr>
            <w:r>
              <w:rPr>
                <w:rFonts w:ascii="Arial" w:eastAsia="等线" w:hAnsi="Arial" w:cs="Arial"/>
                <w:noProof/>
                <w:color w:val="000000"/>
                <w:kern w:val="0"/>
                <w:szCs w:val="21"/>
              </w:rPr>
              <w:t>[</w:t>
            </w:r>
            <w:r w:rsidR="00F05D34">
              <w:rPr>
                <w:rFonts w:ascii="Arial" w:eastAsia="等线" w:hAnsi="Arial" w:cs="Arial"/>
                <w:noProof/>
                <w:color w:val="000000"/>
                <w:kern w:val="0"/>
                <w:szCs w:val="21"/>
              </w:rPr>
              <w:t>249</w:t>
            </w:r>
            <w:r>
              <w:rPr>
                <w:rFonts w:ascii="Arial" w:eastAsia="等线" w:hAnsi="Arial" w:cs="Arial"/>
                <w:noProof/>
                <w:color w:val="000000"/>
                <w:kern w:val="0"/>
                <w:szCs w:val="21"/>
              </w:rPr>
              <w:t>]</w:t>
            </w:r>
          </w:p>
        </w:tc>
      </w:tr>
      <w:tr w:rsidR="00DA18F9" w:rsidRPr="002C3397" w14:paraId="31FB8EF7"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4705BD4B" w14:textId="399717CE" w:rsidR="00DA18F9" w:rsidRPr="002C3397" w:rsidRDefault="00DA18F9" w:rsidP="00DA18F9">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ENSMUSG00000031994</w:t>
            </w:r>
          </w:p>
        </w:tc>
        <w:tc>
          <w:tcPr>
            <w:tcW w:w="916" w:type="pct"/>
            <w:gridSpan w:val="2"/>
            <w:tcBorders>
              <w:top w:val="nil"/>
              <w:left w:val="nil"/>
              <w:bottom w:val="nil"/>
              <w:right w:val="nil"/>
            </w:tcBorders>
            <w:shd w:val="clear" w:color="auto" w:fill="auto"/>
            <w:noWrap/>
            <w:vAlign w:val="center"/>
            <w:hideMark/>
          </w:tcPr>
          <w:p w14:paraId="423BBF0A" w14:textId="605CCEE7" w:rsidR="00DA18F9" w:rsidRPr="002C3397" w:rsidRDefault="00DA18F9" w:rsidP="00DA18F9">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Adamts8</w:t>
            </w:r>
          </w:p>
        </w:tc>
        <w:tc>
          <w:tcPr>
            <w:tcW w:w="1169" w:type="pct"/>
            <w:tcBorders>
              <w:top w:val="nil"/>
              <w:left w:val="nil"/>
              <w:bottom w:val="nil"/>
              <w:right w:val="nil"/>
            </w:tcBorders>
            <w:shd w:val="clear" w:color="auto" w:fill="auto"/>
            <w:noWrap/>
            <w:vAlign w:val="center"/>
            <w:hideMark/>
          </w:tcPr>
          <w:p w14:paraId="091CB67B" w14:textId="682244D5"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4.679 </w:t>
            </w:r>
          </w:p>
        </w:tc>
        <w:tc>
          <w:tcPr>
            <w:tcW w:w="500" w:type="pct"/>
            <w:tcBorders>
              <w:top w:val="nil"/>
              <w:left w:val="nil"/>
              <w:bottom w:val="nil"/>
              <w:right w:val="nil"/>
            </w:tcBorders>
            <w:shd w:val="clear" w:color="auto" w:fill="auto"/>
            <w:noWrap/>
            <w:vAlign w:val="center"/>
            <w:hideMark/>
          </w:tcPr>
          <w:p w14:paraId="2D9149FA" w14:textId="6F413682"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0.007 </w:t>
            </w:r>
          </w:p>
        </w:tc>
        <w:tc>
          <w:tcPr>
            <w:tcW w:w="500" w:type="pct"/>
            <w:gridSpan w:val="2"/>
            <w:tcBorders>
              <w:top w:val="nil"/>
              <w:left w:val="nil"/>
              <w:bottom w:val="nil"/>
              <w:right w:val="nil"/>
            </w:tcBorders>
            <w:shd w:val="clear" w:color="auto" w:fill="auto"/>
            <w:noWrap/>
            <w:vAlign w:val="center"/>
            <w:hideMark/>
          </w:tcPr>
          <w:p w14:paraId="39CFC5A0" w14:textId="0DA58C18"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0.016 </w:t>
            </w:r>
          </w:p>
        </w:tc>
        <w:tc>
          <w:tcPr>
            <w:tcW w:w="1000" w:type="pct"/>
            <w:tcBorders>
              <w:top w:val="nil"/>
              <w:left w:val="nil"/>
              <w:bottom w:val="nil"/>
              <w:right w:val="nil"/>
            </w:tcBorders>
            <w:shd w:val="clear" w:color="auto" w:fill="auto"/>
            <w:noWrap/>
            <w:vAlign w:val="bottom"/>
            <w:hideMark/>
          </w:tcPr>
          <w:p w14:paraId="72DD61BD" w14:textId="584CCE20" w:rsidR="00DA18F9" w:rsidRPr="002C3397" w:rsidRDefault="00DA18F9" w:rsidP="00DA18F9">
            <w:pPr>
              <w:widowControl/>
              <w:jc w:val="center"/>
              <w:rPr>
                <w:rFonts w:ascii="Arial" w:eastAsia="等线" w:hAnsi="Arial" w:cs="Arial"/>
                <w:color w:val="000000"/>
                <w:kern w:val="0"/>
                <w:szCs w:val="21"/>
              </w:rPr>
            </w:pPr>
            <w:r>
              <w:rPr>
                <w:rFonts w:ascii="Arial" w:eastAsia="等线" w:hAnsi="Arial" w:cs="Arial"/>
                <w:noProof/>
                <w:color w:val="000000"/>
                <w:kern w:val="0"/>
                <w:szCs w:val="21"/>
              </w:rPr>
              <w:t>[</w:t>
            </w:r>
            <w:r w:rsidR="00F05D34">
              <w:rPr>
                <w:rFonts w:ascii="Arial" w:eastAsia="等线" w:hAnsi="Arial" w:cs="Arial"/>
                <w:noProof/>
                <w:color w:val="000000"/>
                <w:kern w:val="0"/>
                <w:szCs w:val="21"/>
              </w:rPr>
              <w:t>250</w:t>
            </w:r>
            <w:r>
              <w:rPr>
                <w:rFonts w:ascii="Arial" w:eastAsia="等线" w:hAnsi="Arial" w:cs="Arial"/>
                <w:noProof/>
                <w:color w:val="000000"/>
                <w:kern w:val="0"/>
                <w:szCs w:val="21"/>
              </w:rPr>
              <w:t>]</w:t>
            </w:r>
          </w:p>
        </w:tc>
      </w:tr>
      <w:tr w:rsidR="00DA18F9" w:rsidRPr="002C3397" w14:paraId="5ED3B27B"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1AA86496" w14:textId="41C0D3C1" w:rsidR="00DA18F9" w:rsidRPr="002C3397" w:rsidRDefault="00DA18F9" w:rsidP="00DA18F9">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ENSMUSG00000022816</w:t>
            </w:r>
          </w:p>
        </w:tc>
        <w:tc>
          <w:tcPr>
            <w:tcW w:w="916" w:type="pct"/>
            <w:gridSpan w:val="2"/>
            <w:tcBorders>
              <w:top w:val="nil"/>
              <w:left w:val="nil"/>
              <w:bottom w:val="nil"/>
              <w:right w:val="nil"/>
            </w:tcBorders>
            <w:shd w:val="clear" w:color="auto" w:fill="auto"/>
            <w:noWrap/>
            <w:vAlign w:val="center"/>
            <w:hideMark/>
          </w:tcPr>
          <w:p w14:paraId="49279393" w14:textId="15E27D27" w:rsidR="00DA18F9" w:rsidRPr="002C3397" w:rsidRDefault="00DA18F9" w:rsidP="00DA18F9">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Fstl1</w:t>
            </w:r>
          </w:p>
        </w:tc>
        <w:tc>
          <w:tcPr>
            <w:tcW w:w="1169" w:type="pct"/>
            <w:tcBorders>
              <w:top w:val="nil"/>
              <w:left w:val="nil"/>
              <w:bottom w:val="nil"/>
              <w:right w:val="nil"/>
            </w:tcBorders>
            <w:shd w:val="clear" w:color="auto" w:fill="auto"/>
            <w:noWrap/>
            <w:vAlign w:val="center"/>
            <w:hideMark/>
          </w:tcPr>
          <w:p w14:paraId="0E555A61" w14:textId="59C0CE30"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4.679 </w:t>
            </w:r>
          </w:p>
        </w:tc>
        <w:tc>
          <w:tcPr>
            <w:tcW w:w="500" w:type="pct"/>
            <w:tcBorders>
              <w:top w:val="nil"/>
              <w:left w:val="nil"/>
              <w:bottom w:val="nil"/>
              <w:right w:val="nil"/>
            </w:tcBorders>
            <w:shd w:val="clear" w:color="auto" w:fill="auto"/>
            <w:noWrap/>
            <w:vAlign w:val="center"/>
            <w:hideMark/>
          </w:tcPr>
          <w:p w14:paraId="7B78E4E5" w14:textId="721C5D0D"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0.007 </w:t>
            </w:r>
          </w:p>
        </w:tc>
        <w:tc>
          <w:tcPr>
            <w:tcW w:w="500" w:type="pct"/>
            <w:gridSpan w:val="2"/>
            <w:tcBorders>
              <w:top w:val="nil"/>
              <w:left w:val="nil"/>
              <w:bottom w:val="nil"/>
              <w:right w:val="nil"/>
            </w:tcBorders>
            <w:shd w:val="clear" w:color="auto" w:fill="auto"/>
            <w:noWrap/>
            <w:vAlign w:val="center"/>
            <w:hideMark/>
          </w:tcPr>
          <w:p w14:paraId="67F22518" w14:textId="114D7DE2"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0.016 </w:t>
            </w:r>
          </w:p>
        </w:tc>
        <w:tc>
          <w:tcPr>
            <w:tcW w:w="1000" w:type="pct"/>
            <w:tcBorders>
              <w:top w:val="nil"/>
              <w:left w:val="nil"/>
              <w:bottom w:val="nil"/>
              <w:right w:val="nil"/>
            </w:tcBorders>
            <w:shd w:val="clear" w:color="auto" w:fill="auto"/>
            <w:noWrap/>
            <w:vAlign w:val="bottom"/>
            <w:hideMark/>
          </w:tcPr>
          <w:p w14:paraId="4F85E5F4" w14:textId="52073582" w:rsidR="00DA18F9" w:rsidRPr="002C3397" w:rsidRDefault="00DA18F9" w:rsidP="00DA18F9">
            <w:pPr>
              <w:widowControl/>
              <w:jc w:val="center"/>
              <w:rPr>
                <w:rFonts w:ascii="Arial" w:eastAsia="等线" w:hAnsi="Arial" w:cs="Arial"/>
                <w:color w:val="000000"/>
                <w:kern w:val="0"/>
                <w:szCs w:val="21"/>
              </w:rPr>
            </w:pPr>
            <w:r>
              <w:rPr>
                <w:rFonts w:ascii="Arial" w:eastAsia="等线" w:hAnsi="Arial" w:cs="Arial"/>
                <w:noProof/>
                <w:color w:val="000000"/>
                <w:kern w:val="0"/>
                <w:szCs w:val="21"/>
              </w:rPr>
              <w:t>[</w:t>
            </w:r>
            <w:r w:rsidR="00F05D34">
              <w:rPr>
                <w:rFonts w:ascii="Arial" w:eastAsia="等线" w:hAnsi="Arial" w:cs="Arial"/>
                <w:noProof/>
                <w:color w:val="000000"/>
                <w:kern w:val="0"/>
                <w:szCs w:val="21"/>
              </w:rPr>
              <w:t>251</w:t>
            </w:r>
            <w:r>
              <w:rPr>
                <w:rFonts w:ascii="Arial" w:eastAsia="等线" w:hAnsi="Arial" w:cs="Arial"/>
                <w:noProof/>
                <w:color w:val="000000"/>
                <w:kern w:val="0"/>
                <w:szCs w:val="21"/>
              </w:rPr>
              <w:t>]</w:t>
            </w:r>
          </w:p>
        </w:tc>
      </w:tr>
      <w:tr w:rsidR="00DA18F9" w:rsidRPr="002C3397" w14:paraId="629342E3"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7A7307A6" w14:textId="732F6BE0" w:rsidR="00DA18F9" w:rsidRPr="002C3397" w:rsidRDefault="00DA18F9" w:rsidP="00DA18F9">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ENSMUSG00000040899</w:t>
            </w:r>
          </w:p>
        </w:tc>
        <w:tc>
          <w:tcPr>
            <w:tcW w:w="916" w:type="pct"/>
            <w:gridSpan w:val="2"/>
            <w:tcBorders>
              <w:top w:val="nil"/>
              <w:left w:val="nil"/>
              <w:bottom w:val="nil"/>
              <w:right w:val="nil"/>
            </w:tcBorders>
            <w:shd w:val="clear" w:color="auto" w:fill="auto"/>
            <w:noWrap/>
            <w:vAlign w:val="center"/>
            <w:hideMark/>
          </w:tcPr>
          <w:p w14:paraId="29F96BE2" w14:textId="282D3936" w:rsidR="00DA18F9" w:rsidRPr="002C3397" w:rsidRDefault="00DA18F9" w:rsidP="00DA18F9">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Ccr6</w:t>
            </w:r>
          </w:p>
        </w:tc>
        <w:tc>
          <w:tcPr>
            <w:tcW w:w="1169" w:type="pct"/>
            <w:tcBorders>
              <w:top w:val="nil"/>
              <w:left w:val="nil"/>
              <w:bottom w:val="nil"/>
              <w:right w:val="nil"/>
            </w:tcBorders>
            <w:shd w:val="clear" w:color="auto" w:fill="auto"/>
            <w:noWrap/>
            <w:vAlign w:val="center"/>
            <w:hideMark/>
          </w:tcPr>
          <w:p w14:paraId="60AC8B40" w14:textId="014ABCDF"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4.677 </w:t>
            </w:r>
          </w:p>
        </w:tc>
        <w:tc>
          <w:tcPr>
            <w:tcW w:w="500" w:type="pct"/>
            <w:tcBorders>
              <w:top w:val="nil"/>
              <w:left w:val="nil"/>
              <w:bottom w:val="nil"/>
              <w:right w:val="nil"/>
            </w:tcBorders>
            <w:shd w:val="clear" w:color="auto" w:fill="auto"/>
            <w:noWrap/>
            <w:vAlign w:val="center"/>
            <w:hideMark/>
          </w:tcPr>
          <w:p w14:paraId="56670165" w14:textId="48D0C372"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0.007 </w:t>
            </w:r>
          </w:p>
        </w:tc>
        <w:tc>
          <w:tcPr>
            <w:tcW w:w="500" w:type="pct"/>
            <w:gridSpan w:val="2"/>
            <w:tcBorders>
              <w:top w:val="nil"/>
              <w:left w:val="nil"/>
              <w:bottom w:val="nil"/>
              <w:right w:val="nil"/>
            </w:tcBorders>
            <w:shd w:val="clear" w:color="auto" w:fill="auto"/>
            <w:noWrap/>
            <w:vAlign w:val="center"/>
            <w:hideMark/>
          </w:tcPr>
          <w:p w14:paraId="48AD7627" w14:textId="2D21667A"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0.016 </w:t>
            </w:r>
          </w:p>
        </w:tc>
        <w:tc>
          <w:tcPr>
            <w:tcW w:w="1000" w:type="pct"/>
            <w:tcBorders>
              <w:top w:val="nil"/>
              <w:left w:val="nil"/>
              <w:bottom w:val="nil"/>
              <w:right w:val="nil"/>
            </w:tcBorders>
            <w:shd w:val="clear" w:color="auto" w:fill="auto"/>
            <w:noWrap/>
            <w:vAlign w:val="bottom"/>
            <w:hideMark/>
          </w:tcPr>
          <w:p w14:paraId="419A96AD" w14:textId="710AE712" w:rsidR="00DA18F9" w:rsidRPr="002C3397" w:rsidRDefault="00DA18F9" w:rsidP="00DA18F9">
            <w:pPr>
              <w:widowControl/>
              <w:jc w:val="center"/>
              <w:rPr>
                <w:rFonts w:ascii="Arial" w:eastAsia="等线" w:hAnsi="Arial" w:cs="Arial"/>
                <w:color w:val="000000"/>
                <w:kern w:val="0"/>
                <w:szCs w:val="21"/>
              </w:rPr>
            </w:pPr>
            <w:r>
              <w:rPr>
                <w:rFonts w:ascii="Arial" w:eastAsia="等线" w:hAnsi="Arial" w:cs="Arial"/>
                <w:noProof/>
                <w:color w:val="000000"/>
                <w:kern w:val="0"/>
                <w:szCs w:val="21"/>
              </w:rPr>
              <w:t>[</w:t>
            </w:r>
            <w:r w:rsidR="00F05D34">
              <w:rPr>
                <w:rFonts w:ascii="Arial" w:eastAsia="等线" w:hAnsi="Arial" w:cs="Arial"/>
                <w:noProof/>
                <w:color w:val="000000"/>
                <w:kern w:val="0"/>
                <w:szCs w:val="21"/>
              </w:rPr>
              <w:t>252</w:t>
            </w:r>
            <w:r>
              <w:rPr>
                <w:rFonts w:ascii="Arial" w:eastAsia="等线" w:hAnsi="Arial" w:cs="Arial"/>
                <w:noProof/>
                <w:color w:val="000000"/>
                <w:kern w:val="0"/>
                <w:szCs w:val="21"/>
              </w:rPr>
              <w:t xml:space="preserve">, </w:t>
            </w:r>
            <w:r w:rsidR="00F05D34">
              <w:rPr>
                <w:rFonts w:ascii="Arial" w:eastAsia="等线" w:hAnsi="Arial" w:cs="Arial"/>
                <w:noProof/>
                <w:color w:val="000000"/>
                <w:kern w:val="0"/>
                <w:szCs w:val="21"/>
              </w:rPr>
              <w:t>253</w:t>
            </w:r>
            <w:r>
              <w:rPr>
                <w:rFonts w:ascii="Arial" w:eastAsia="等线" w:hAnsi="Arial" w:cs="Arial"/>
                <w:noProof/>
                <w:color w:val="000000"/>
                <w:kern w:val="0"/>
                <w:szCs w:val="21"/>
              </w:rPr>
              <w:t>]</w:t>
            </w:r>
          </w:p>
        </w:tc>
      </w:tr>
      <w:tr w:rsidR="00DA18F9" w:rsidRPr="002C3397" w14:paraId="60BEE9B0"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4679E8B7" w14:textId="45CD2860" w:rsidR="00DA18F9" w:rsidRPr="002C3397" w:rsidRDefault="00DA18F9" w:rsidP="00DA18F9">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ENSMUSG00000039153</w:t>
            </w:r>
          </w:p>
        </w:tc>
        <w:tc>
          <w:tcPr>
            <w:tcW w:w="916" w:type="pct"/>
            <w:gridSpan w:val="2"/>
            <w:tcBorders>
              <w:top w:val="nil"/>
              <w:left w:val="nil"/>
              <w:bottom w:val="nil"/>
              <w:right w:val="nil"/>
            </w:tcBorders>
            <w:shd w:val="clear" w:color="auto" w:fill="auto"/>
            <w:noWrap/>
            <w:vAlign w:val="center"/>
            <w:hideMark/>
          </w:tcPr>
          <w:p w14:paraId="4DE17DAF" w14:textId="1E65D191" w:rsidR="00DA18F9" w:rsidRPr="002C3397" w:rsidRDefault="00DA18F9" w:rsidP="00DA18F9">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Runx2</w:t>
            </w:r>
          </w:p>
        </w:tc>
        <w:tc>
          <w:tcPr>
            <w:tcW w:w="1169" w:type="pct"/>
            <w:tcBorders>
              <w:top w:val="nil"/>
              <w:left w:val="nil"/>
              <w:bottom w:val="nil"/>
              <w:right w:val="nil"/>
            </w:tcBorders>
            <w:shd w:val="clear" w:color="auto" w:fill="auto"/>
            <w:noWrap/>
            <w:vAlign w:val="center"/>
            <w:hideMark/>
          </w:tcPr>
          <w:p w14:paraId="5E9F8E2B" w14:textId="0AADFE46"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4.677 </w:t>
            </w:r>
          </w:p>
        </w:tc>
        <w:tc>
          <w:tcPr>
            <w:tcW w:w="500" w:type="pct"/>
            <w:tcBorders>
              <w:top w:val="nil"/>
              <w:left w:val="nil"/>
              <w:bottom w:val="nil"/>
              <w:right w:val="nil"/>
            </w:tcBorders>
            <w:shd w:val="clear" w:color="auto" w:fill="auto"/>
            <w:noWrap/>
            <w:vAlign w:val="center"/>
            <w:hideMark/>
          </w:tcPr>
          <w:p w14:paraId="2A1E0188" w14:textId="3FBE52D9"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0.007 </w:t>
            </w:r>
          </w:p>
        </w:tc>
        <w:tc>
          <w:tcPr>
            <w:tcW w:w="500" w:type="pct"/>
            <w:gridSpan w:val="2"/>
            <w:tcBorders>
              <w:top w:val="nil"/>
              <w:left w:val="nil"/>
              <w:bottom w:val="nil"/>
              <w:right w:val="nil"/>
            </w:tcBorders>
            <w:shd w:val="clear" w:color="auto" w:fill="auto"/>
            <w:noWrap/>
            <w:vAlign w:val="center"/>
            <w:hideMark/>
          </w:tcPr>
          <w:p w14:paraId="5C2D8630" w14:textId="709D0209"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0.016 </w:t>
            </w:r>
          </w:p>
        </w:tc>
        <w:tc>
          <w:tcPr>
            <w:tcW w:w="1000" w:type="pct"/>
            <w:tcBorders>
              <w:top w:val="nil"/>
              <w:left w:val="nil"/>
              <w:bottom w:val="nil"/>
              <w:right w:val="nil"/>
            </w:tcBorders>
            <w:shd w:val="clear" w:color="auto" w:fill="auto"/>
            <w:noWrap/>
            <w:vAlign w:val="bottom"/>
            <w:hideMark/>
          </w:tcPr>
          <w:p w14:paraId="5981B9BA" w14:textId="53A3895A" w:rsidR="00DA18F9" w:rsidRPr="002C3397" w:rsidRDefault="00DA18F9" w:rsidP="00DA18F9">
            <w:pPr>
              <w:widowControl/>
              <w:jc w:val="center"/>
              <w:rPr>
                <w:rFonts w:ascii="Arial" w:eastAsia="等线" w:hAnsi="Arial" w:cs="Arial"/>
                <w:color w:val="000000"/>
                <w:kern w:val="0"/>
                <w:szCs w:val="21"/>
              </w:rPr>
            </w:pPr>
            <w:r>
              <w:rPr>
                <w:rFonts w:ascii="Arial" w:eastAsia="等线" w:hAnsi="Arial" w:cs="Arial"/>
                <w:noProof/>
                <w:color w:val="000000"/>
                <w:kern w:val="0"/>
                <w:szCs w:val="21"/>
              </w:rPr>
              <w:t>[</w:t>
            </w:r>
            <w:r w:rsidR="00F05D34">
              <w:rPr>
                <w:rFonts w:ascii="Arial" w:eastAsia="等线" w:hAnsi="Arial" w:cs="Arial"/>
                <w:noProof/>
                <w:color w:val="000000"/>
                <w:kern w:val="0"/>
                <w:szCs w:val="21"/>
              </w:rPr>
              <w:t>254</w:t>
            </w:r>
            <w:r>
              <w:rPr>
                <w:rFonts w:ascii="Arial" w:eastAsia="等线" w:hAnsi="Arial" w:cs="Arial"/>
                <w:noProof/>
                <w:color w:val="000000"/>
                <w:kern w:val="0"/>
                <w:szCs w:val="21"/>
              </w:rPr>
              <w:t>]</w:t>
            </w:r>
          </w:p>
        </w:tc>
      </w:tr>
      <w:tr w:rsidR="00DA18F9" w:rsidRPr="002C3397" w14:paraId="4389D103"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1717EBF7" w14:textId="650F51E8" w:rsidR="00DA18F9" w:rsidRPr="002C3397" w:rsidRDefault="00DA18F9" w:rsidP="00DA18F9">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ENSMUSG00000033805</w:t>
            </w:r>
          </w:p>
        </w:tc>
        <w:tc>
          <w:tcPr>
            <w:tcW w:w="916" w:type="pct"/>
            <w:gridSpan w:val="2"/>
            <w:tcBorders>
              <w:top w:val="nil"/>
              <w:left w:val="nil"/>
              <w:bottom w:val="nil"/>
              <w:right w:val="nil"/>
            </w:tcBorders>
            <w:shd w:val="clear" w:color="auto" w:fill="auto"/>
            <w:noWrap/>
            <w:vAlign w:val="center"/>
            <w:hideMark/>
          </w:tcPr>
          <w:p w14:paraId="0BC43335" w14:textId="289EDCA5" w:rsidR="00DA18F9" w:rsidRPr="002C3397" w:rsidRDefault="00DA18F9" w:rsidP="00DA18F9">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Ephx4</w:t>
            </w:r>
          </w:p>
        </w:tc>
        <w:tc>
          <w:tcPr>
            <w:tcW w:w="1169" w:type="pct"/>
            <w:tcBorders>
              <w:top w:val="nil"/>
              <w:left w:val="nil"/>
              <w:bottom w:val="nil"/>
              <w:right w:val="nil"/>
            </w:tcBorders>
            <w:shd w:val="clear" w:color="auto" w:fill="auto"/>
            <w:noWrap/>
            <w:vAlign w:val="center"/>
            <w:hideMark/>
          </w:tcPr>
          <w:p w14:paraId="00ED2EE1" w14:textId="59577508"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2.344 </w:t>
            </w:r>
          </w:p>
        </w:tc>
        <w:tc>
          <w:tcPr>
            <w:tcW w:w="500" w:type="pct"/>
            <w:tcBorders>
              <w:top w:val="nil"/>
              <w:left w:val="nil"/>
              <w:bottom w:val="nil"/>
              <w:right w:val="nil"/>
            </w:tcBorders>
            <w:shd w:val="clear" w:color="auto" w:fill="auto"/>
            <w:noWrap/>
            <w:vAlign w:val="center"/>
            <w:hideMark/>
          </w:tcPr>
          <w:p w14:paraId="262C312D" w14:textId="06E9AC22"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0.007 </w:t>
            </w:r>
          </w:p>
        </w:tc>
        <w:tc>
          <w:tcPr>
            <w:tcW w:w="500" w:type="pct"/>
            <w:gridSpan w:val="2"/>
            <w:tcBorders>
              <w:top w:val="nil"/>
              <w:left w:val="nil"/>
              <w:bottom w:val="nil"/>
              <w:right w:val="nil"/>
            </w:tcBorders>
            <w:shd w:val="clear" w:color="auto" w:fill="auto"/>
            <w:noWrap/>
            <w:vAlign w:val="center"/>
            <w:hideMark/>
          </w:tcPr>
          <w:p w14:paraId="0867511C" w14:textId="588A3516"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0.017 </w:t>
            </w:r>
          </w:p>
        </w:tc>
        <w:tc>
          <w:tcPr>
            <w:tcW w:w="1000" w:type="pct"/>
            <w:tcBorders>
              <w:top w:val="nil"/>
              <w:left w:val="nil"/>
              <w:bottom w:val="nil"/>
              <w:right w:val="nil"/>
            </w:tcBorders>
            <w:shd w:val="clear" w:color="auto" w:fill="auto"/>
            <w:noWrap/>
            <w:vAlign w:val="bottom"/>
            <w:hideMark/>
          </w:tcPr>
          <w:p w14:paraId="7E9F6244" w14:textId="0244F3EF" w:rsidR="00DA18F9" w:rsidRPr="002C3397" w:rsidRDefault="00DA18F9" w:rsidP="00DA18F9">
            <w:pPr>
              <w:widowControl/>
              <w:jc w:val="center"/>
              <w:rPr>
                <w:rFonts w:ascii="Arial" w:eastAsia="等线" w:hAnsi="Arial" w:cs="Arial"/>
                <w:color w:val="000000"/>
                <w:kern w:val="0"/>
                <w:szCs w:val="21"/>
              </w:rPr>
            </w:pPr>
            <w:r>
              <w:rPr>
                <w:rFonts w:ascii="Arial" w:eastAsia="等线" w:hAnsi="Arial" w:cs="Arial"/>
                <w:noProof/>
                <w:color w:val="000000"/>
                <w:kern w:val="0"/>
                <w:szCs w:val="21"/>
              </w:rPr>
              <w:t>[</w:t>
            </w:r>
            <w:r w:rsidR="00F05D34">
              <w:rPr>
                <w:rFonts w:ascii="Arial" w:eastAsia="等线" w:hAnsi="Arial" w:cs="Arial"/>
                <w:noProof/>
                <w:color w:val="000000"/>
                <w:kern w:val="0"/>
                <w:szCs w:val="21"/>
              </w:rPr>
              <w:t>255</w:t>
            </w:r>
            <w:r>
              <w:rPr>
                <w:rFonts w:ascii="Arial" w:eastAsia="等线" w:hAnsi="Arial" w:cs="Arial"/>
                <w:noProof/>
                <w:color w:val="000000"/>
                <w:kern w:val="0"/>
                <w:szCs w:val="21"/>
              </w:rPr>
              <w:t>]</w:t>
            </w:r>
          </w:p>
        </w:tc>
      </w:tr>
      <w:tr w:rsidR="00DA18F9" w:rsidRPr="002C3397" w14:paraId="63F8180D"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19243D87" w14:textId="6EC24453" w:rsidR="00DA18F9" w:rsidRPr="002C3397" w:rsidRDefault="00DA18F9" w:rsidP="00DA18F9">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ENSMUSG00000040505</w:t>
            </w:r>
          </w:p>
        </w:tc>
        <w:tc>
          <w:tcPr>
            <w:tcW w:w="916" w:type="pct"/>
            <w:gridSpan w:val="2"/>
            <w:tcBorders>
              <w:top w:val="nil"/>
              <w:left w:val="nil"/>
              <w:bottom w:val="nil"/>
              <w:right w:val="nil"/>
            </w:tcBorders>
            <w:shd w:val="clear" w:color="auto" w:fill="auto"/>
            <w:noWrap/>
            <w:vAlign w:val="center"/>
            <w:hideMark/>
          </w:tcPr>
          <w:p w14:paraId="1E592AED" w14:textId="5543F061" w:rsidR="00DA18F9" w:rsidRPr="002C3397" w:rsidRDefault="00DA18F9" w:rsidP="00DA18F9">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Abcg5</w:t>
            </w:r>
          </w:p>
        </w:tc>
        <w:tc>
          <w:tcPr>
            <w:tcW w:w="1169" w:type="pct"/>
            <w:tcBorders>
              <w:top w:val="nil"/>
              <w:left w:val="nil"/>
              <w:bottom w:val="nil"/>
              <w:right w:val="nil"/>
            </w:tcBorders>
            <w:shd w:val="clear" w:color="auto" w:fill="auto"/>
            <w:noWrap/>
            <w:vAlign w:val="center"/>
            <w:hideMark/>
          </w:tcPr>
          <w:p w14:paraId="5DD0997E" w14:textId="2F789539"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2.758 </w:t>
            </w:r>
          </w:p>
        </w:tc>
        <w:tc>
          <w:tcPr>
            <w:tcW w:w="500" w:type="pct"/>
            <w:tcBorders>
              <w:top w:val="nil"/>
              <w:left w:val="nil"/>
              <w:bottom w:val="nil"/>
              <w:right w:val="nil"/>
            </w:tcBorders>
            <w:shd w:val="clear" w:color="auto" w:fill="auto"/>
            <w:noWrap/>
            <w:vAlign w:val="center"/>
            <w:hideMark/>
          </w:tcPr>
          <w:p w14:paraId="269D56FC" w14:textId="13E34F40"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0.008 </w:t>
            </w:r>
          </w:p>
        </w:tc>
        <w:tc>
          <w:tcPr>
            <w:tcW w:w="500" w:type="pct"/>
            <w:gridSpan w:val="2"/>
            <w:tcBorders>
              <w:top w:val="nil"/>
              <w:left w:val="nil"/>
              <w:bottom w:val="nil"/>
              <w:right w:val="nil"/>
            </w:tcBorders>
            <w:shd w:val="clear" w:color="auto" w:fill="auto"/>
            <w:noWrap/>
            <w:vAlign w:val="center"/>
            <w:hideMark/>
          </w:tcPr>
          <w:p w14:paraId="7D1EBDB6" w14:textId="25174B8F"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0.018 </w:t>
            </w:r>
          </w:p>
        </w:tc>
        <w:tc>
          <w:tcPr>
            <w:tcW w:w="1000" w:type="pct"/>
            <w:tcBorders>
              <w:top w:val="nil"/>
              <w:left w:val="nil"/>
              <w:bottom w:val="nil"/>
              <w:right w:val="nil"/>
            </w:tcBorders>
            <w:shd w:val="clear" w:color="auto" w:fill="auto"/>
            <w:noWrap/>
            <w:vAlign w:val="bottom"/>
            <w:hideMark/>
          </w:tcPr>
          <w:p w14:paraId="1F60E9DA" w14:textId="1DCF68E7" w:rsidR="00DA18F9" w:rsidRPr="002C3397" w:rsidRDefault="00DA18F9" w:rsidP="00DA18F9">
            <w:pPr>
              <w:widowControl/>
              <w:jc w:val="center"/>
              <w:rPr>
                <w:rFonts w:ascii="Arial" w:eastAsia="等线" w:hAnsi="Arial" w:cs="Arial"/>
                <w:color w:val="000000"/>
                <w:kern w:val="0"/>
                <w:szCs w:val="21"/>
              </w:rPr>
            </w:pPr>
            <w:r>
              <w:rPr>
                <w:rFonts w:ascii="Arial" w:eastAsia="等线" w:hAnsi="Arial" w:cs="Arial"/>
                <w:noProof/>
                <w:color w:val="000000"/>
                <w:kern w:val="0"/>
                <w:szCs w:val="21"/>
              </w:rPr>
              <w:t>[</w:t>
            </w:r>
            <w:r w:rsidR="00F05D34">
              <w:rPr>
                <w:rFonts w:ascii="Arial" w:eastAsia="等线" w:hAnsi="Arial" w:cs="Arial"/>
                <w:noProof/>
                <w:color w:val="000000"/>
                <w:kern w:val="0"/>
                <w:szCs w:val="21"/>
              </w:rPr>
              <w:t>256</w:t>
            </w:r>
            <w:r>
              <w:rPr>
                <w:rFonts w:ascii="Arial" w:eastAsia="等线" w:hAnsi="Arial" w:cs="Arial"/>
                <w:noProof/>
                <w:color w:val="000000"/>
                <w:kern w:val="0"/>
                <w:szCs w:val="21"/>
              </w:rPr>
              <w:t>]</w:t>
            </w:r>
          </w:p>
        </w:tc>
      </w:tr>
      <w:tr w:rsidR="00DA18F9" w:rsidRPr="002C3397" w14:paraId="39180957"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3FBF8BFB" w14:textId="4F45996E" w:rsidR="00DA18F9" w:rsidRPr="002C3397" w:rsidRDefault="00DA18F9" w:rsidP="00DA18F9">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ENSMUSG00000036856</w:t>
            </w:r>
          </w:p>
        </w:tc>
        <w:tc>
          <w:tcPr>
            <w:tcW w:w="916" w:type="pct"/>
            <w:gridSpan w:val="2"/>
            <w:tcBorders>
              <w:top w:val="nil"/>
              <w:left w:val="nil"/>
              <w:bottom w:val="nil"/>
              <w:right w:val="nil"/>
            </w:tcBorders>
            <w:shd w:val="clear" w:color="auto" w:fill="auto"/>
            <w:noWrap/>
            <w:vAlign w:val="center"/>
            <w:hideMark/>
          </w:tcPr>
          <w:p w14:paraId="3269ED2F" w14:textId="18E2CB6E" w:rsidR="00DA18F9" w:rsidRPr="002C3397" w:rsidRDefault="00DA18F9" w:rsidP="00DA18F9">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Wnt4</w:t>
            </w:r>
          </w:p>
        </w:tc>
        <w:tc>
          <w:tcPr>
            <w:tcW w:w="1169" w:type="pct"/>
            <w:tcBorders>
              <w:top w:val="nil"/>
              <w:left w:val="nil"/>
              <w:bottom w:val="nil"/>
              <w:right w:val="nil"/>
            </w:tcBorders>
            <w:shd w:val="clear" w:color="auto" w:fill="auto"/>
            <w:noWrap/>
            <w:vAlign w:val="center"/>
            <w:hideMark/>
          </w:tcPr>
          <w:p w14:paraId="24BCE51D" w14:textId="378B3CE8"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3.231 </w:t>
            </w:r>
          </w:p>
        </w:tc>
        <w:tc>
          <w:tcPr>
            <w:tcW w:w="500" w:type="pct"/>
            <w:tcBorders>
              <w:top w:val="nil"/>
              <w:left w:val="nil"/>
              <w:bottom w:val="nil"/>
              <w:right w:val="nil"/>
            </w:tcBorders>
            <w:shd w:val="clear" w:color="auto" w:fill="auto"/>
            <w:noWrap/>
            <w:vAlign w:val="center"/>
            <w:hideMark/>
          </w:tcPr>
          <w:p w14:paraId="7DAE567C" w14:textId="3509001F"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0.008 </w:t>
            </w:r>
          </w:p>
        </w:tc>
        <w:tc>
          <w:tcPr>
            <w:tcW w:w="500" w:type="pct"/>
            <w:gridSpan w:val="2"/>
            <w:tcBorders>
              <w:top w:val="nil"/>
              <w:left w:val="nil"/>
              <w:bottom w:val="nil"/>
              <w:right w:val="nil"/>
            </w:tcBorders>
            <w:shd w:val="clear" w:color="auto" w:fill="auto"/>
            <w:noWrap/>
            <w:vAlign w:val="center"/>
            <w:hideMark/>
          </w:tcPr>
          <w:p w14:paraId="2438C1CB" w14:textId="4FB078A3"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0.019 </w:t>
            </w:r>
          </w:p>
        </w:tc>
        <w:tc>
          <w:tcPr>
            <w:tcW w:w="1000" w:type="pct"/>
            <w:tcBorders>
              <w:top w:val="nil"/>
              <w:left w:val="nil"/>
              <w:bottom w:val="nil"/>
              <w:right w:val="nil"/>
            </w:tcBorders>
            <w:shd w:val="clear" w:color="auto" w:fill="auto"/>
            <w:noWrap/>
            <w:vAlign w:val="bottom"/>
            <w:hideMark/>
          </w:tcPr>
          <w:p w14:paraId="306F4E35" w14:textId="0545F3F1" w:rsidR="00DA18F9" w:rsidRPr="002C3397" w:rsidRDefault="00DA18F9" w:rsidP="00DA18F9">
            <w:pPr>
              <w:widowControl/>
              <w:jc w:val="center"/>
              <w:rPr>
                <w:rFonts w:ascii="Arial" w:eastAsia="等线" w:hAnsi="Arial" w:cs="Arial"/>
                <w:color w:val="000000"/>
                <w:kern w:val="0"/>
                <w:szCs w:val="21"/>
              </w:rPr>
            </w:pPr>
            <w:r>
              <w:rPr>
                <w:rFonts w:ascii="Arial" w:eastAsia="等线" w:hAnsi="Arial" w:cs="Arial"/>
                <w:noProof/>
                <w:color w:val="000000"/>
                <w:kern w:val="0"/>
                <w:szCs w:val="21"/>
              </w:rPr>
              <w:t>[</w:t>
            </w:r>
            <w:r w:rsidR="00F05D34">
              <w:rPr>
                <w:rFonts w:ascii="Arial" w:eastAsia="等线" w:hAnsi="Arial" w:cs="Arial"/>
                <w:noProof/>
                <w:color w:val="000000"/>
                <w:kern w:val="0"/>
                <w:szCs w:val="21"/>
              </w:rPr>
              <w:t>257</w:t>
            </w:r>
            <w:r>
              <w:rPr>
                <w:rFonts w:ascii="Arial" w:eastAsia="等线" w:hAnsi="Arial" w:cs="Arial"/>
                <w:noProof/>
                <w:color w:val="000000"/>
                <w:kern w:val="0"/>
                <w:szCs w:val="21"/>
              </w:rPr>
              <w:t>]</w:t>
            </w:r>
          </w:p>
        </w:tc>
      </w:tr>
      <w:tr w:rsidR="00DA18F9" w:rsidRPr="002C3397" w14:paraId="6CB82BC0"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6A2B3062" w14:textId="643E1741" w:rsidR="00DA18F9" w:rsidRPr="002C3397" w:rsidRDefault="00DA18F9" w:rsidP="00DA18F9">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ENSMUSG00000030278</w:t>
            </w:r>
          </w:p>
        </w:tc>
        <w:tc>
          <w:tcPr>
            <w:tcW w:w="916" w:type="pct"/>
            <w:gridSpan w:val="2"/>
            <w:tcBorders>
              <w:top w:val="nil"/>
              <w:left w:val="nil"/>
              <w:bottom w:val="nil"/>
              <w:right w:val="nil"/>
            </w:tcBorders>
            <w:shd w:val="clear" w:color="auto" w:fill="auto"/>
            <w:noWrap/>
            <w:vAlign w:val="center"/>
            <w:hideMark/>
          </w:tcPr>
          <w:p w14:paraId="15EC2161" w14:textId="032D0A29" w:rsidR="00DA18F9" w:rsidRPr="002C3397" w:rsidRDefault="00DA18F9" w:rsidP="00DA18F9">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Cidec</w:t>
            </w:r>
          </w:p>
        </w:tc>
        <w:tc>
          <w:tcPr>
            <w:tcW w:w="1169" w:type="pct"/>
            <w:tcBorders>
              <w:top w:val="nil"/>
              <w:left w:val="nil"/>
              <w:bottom w:val="nil"/>
              <w:right w:val="nil"/>
            </w:tcBorders>
            <w:shd w:val="clear" w:color="auto" w:fill="auto"/>
            <w:noWrap/>
            <w:vAlign w:val="center"/>
            <w:hideMark/>
          </w:tcPr>
          <w:p w14:paraId="1EC950CB" w14:textId="6FCE36B0"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2.212 </w:t>
            </w:r>
          </w:p>
        </w:tc>
        <w:tc>
          <w:tcPr>
            <w:tcW w:w="500" w:type="pct"/>
            <w:tcBorders>
              <w:top w:val="nil"/>
              <w:left w:val="nil"/>
              <w:bottom w:val="nil"/>
              <w:right w:val="nil"/>
            </w:tcBorders>
            <w:shd w:val="clear" w:color="auto" w:fill="auto"/>
            <w:noWrap/>
            <w:vAlign w:val="center"/>
            <w:hideMark/>
          </w:tcPr>
          <w:p w14:paraId="2C2D4B52" w14:textId="1D44AC6B"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0.012 </w:t>
            </w:r>
          </w:p>
        </w:tc>
        <w:tc>
          <w:tcPr>
            <w:tcW w:w="500" w:type="pct"/>
            <w:gridSpan w:val="2"/>
            <w:tcBorders>
              <w:top w:val="nil"/>
              <w:left w:val="nil"/>
              <w:bottom w:val="nil"/>
              <w:right w:val="nil"/>
            </w:tcBorders>
            <w:shd w:val="clear" w:color="auto" w:fill="auto"/>
            <w:noWrap/>
            <w:vAlign w:val="center"/>
            <w:hideMark/>
          </w:tcPr>
          <w:p w14:paraId="60AF5EE1" w14:textId="3E617194"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0.026 </w:t>
            </w:r>
          </w:p>
        </w:tc>
        <w:tc>
          <w:tcPr>
            <w:tcW w:w="1000" w:type="pct"/>
            <w:tcBorders>
              <w:top w:val="nil"/>
              <w:left w:val="nil"/>
              <w:bottom w:val="nil"/>
              <w:right w:val="nil"/>
            </w:tcBorders>
            <w:shd w:val="clear" w:color="auto" w:fill="auto"/>
            <w:noWrap/>
            <w:vAlign w:val="bottom"/>
            <w:hideMark/>
          </w:tcPr>
          <w:p w14:paraId="42D7D2A0" w14:textId="24474DFF" w:rsidR="00DA18F9" w:rsidRPr="002C3397" w:rsidRDefault="00DA18F9" w:rsidP="00DA18F9">
            <w:pPr>
              <w:widowControl/>
              <w:jc w:val="center"/>
              <w:rPr>
                <w:rFonts w:ascii="Arial" w:eastAsia="等线" w:hAnsi="Arial" w:cs="Arial"/>
                <w:color w:val="000000"/>
                <w:kern w:val="0"/>
                <w:szCs w:val="21"/>
              </w:rPr>
            </w:pPr>
            <w:r>
              <w:rPr>
                <w:rFonts w:ascii="Arial" w:eastAsia="等线" w:hAnsi="Arial" w:cs="Arial"/>
                <w:noProof/>
                <w:color w:val="000000"/>
                <w:kern w:val="0"/>
                <w:szCs w:val="21"/>
              </w:rPr>
              <w:t>[</w:t>
            </w:r>
            <w:r w:rsidR="00F05D34">
              <w:rPr>
                <w:rFonts w:ascii="Arial" w:eastAsia="等线" w:hAnsi="Arial" w:cs="Arial"/>
                <w:noProof/>
                <w:color w:val="000000"/>
                <w:kern w:val="0"/>
                <w:szCs w:val="21"/>
              </w:rPr>
              <w:t>258</w:t>
            </w:r>
            <w:r>
              <w:rPr>
                <w:rFonts w:ascii="Arial" w:eastAsia="等线" w:hAnsi="Arial" w:cs="Arial"/>
                <w:noProof/>
                <w:color w:val="000000"/>
                <w:kern w:val="0"/>
                <w:szCs w:val="21"/>
              </w:rPr>
              <w:t>]</w:t>
            </w:r>
          </w:p>
        </w:tc>
      </w:tr>
      <w:tr w:rsidR="00DA18F9" w:rsidRPr="002C3397" w14:paraId="080B365B"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7073469B" w14:textId="60893600" w:rsidR="00DA18F9" w:rsidRPr="002C3397" w:rsidRDefault="00DA18F9" w:rsidP="00DA18F9">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ENSMUSG00000031503</w:t>
            </w:r>
          </w:p>
        </w:tc>
        <w:tc>
          <w:tcPr>
            <w:tcW w:w="916" w:type="pct"/>
            <w:gridSpan w:val="2"/>
            <w:tcBorders>
              <w:top w:val="nil"/>
              <w:left w:val="nil"/>
              <w:bottom w:val="nil"/>
              <w:right w:val="nil"/>
            </w:tcBorders>
            <w:shd w:val="clear" w:color="auto" w:fill="auto"/>
            <w:noWrap/>
            <w:vAlign w:val="center"/>
            <w:hideMark/>
          </w:tcPr>
          <w:p w14:paraId="11688AD8" w14:textId="3CEE9F04" w:rsidR="00DA18F9" w:rsidRPr="002C3397" w:rsidRDefault="00DA18F9" w:rsidP="00DA18F9">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Col4a2</w:t>
            </w:r>
          </w:p>
        </w:tc>
        <w:tc>
          <w:tcPr>
            <w:tcW w:w="1169" w:type="pct"/>
            <w:tcBorders>
              <w:top w:val="nil"/>
              <w:left w:val="nil"/>
              <w:bottom w:val="nil"/>
              <w:right w:val="nil"/>
            </w:tcBorders>
            <w:shd w:val="clear" w:color="auto" w:fill="auto"/>
            <w:noWrap/>
            <w:vAlign w:val="center"/>
            <w:hideMark/>
          </w:tcPr>
          <w:p w14:paraId="72A32E8C" w14:textId="0F9D0603"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2.346 </w:t>
            </w:r>
          </w:p>
        </w:tc>
        <w:tc>
          <w:tcPr>
            <w:tcW w:w="500" w:type="pct"/>
            <w:tcBorders>
              <w:top w:val="nil"/>
              <w:left w:val="nil"/>
              <w:bottom w:val="nil"/>
              <w:right w:val="nil"/>
            </w:tcBorders>
            <w:shd w:val="clear" w:color="auto" w:fill="auto"/>
            <w:noWrap/>
            <w:vAlign w:val="center"/>
            <w:hideMark/>
          </w:tcPr>
          <w:p w14:paraId="793DA5E5" w14:textId="0B481BBB"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0.012 </w:t>
            </w:r>
          </w:p>
        </w:tc>
        <w:tc>
          <w:tcPr>
            <w:tcW w:w="500" w:type="pct"/>
            <w:gridSpan w:val="2"/>
            <w:tcBorders>
              <w:top w:val="nil"/>
              <w:left w:val="nil"/>
              <w:bottom w:val="nil"/>
              <w:right w:val="nil"/>
            </w:tcBorders>
            <w:shd w:val="clear" w:color="auto" w:fill="auto"/>
            <w:noWrap/>
            <w:vAlign w:val="center"/>
            <w:hideMark/>
          </w:tcPr>
          <w:p w14:paraId="4D1237E7" w14:textId="43739897"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0.027 </w:t>
            </w:r>
          </w:p>
        </w:tc>
        <w:tc>
          <w:tcPr>
            <w:tcW w:w="1000" w:type="pct"/>
            <w:tcBorders>
              <w:top w:val="nil"/>
              <w:left w:val="nil"/>
              <w:bottom w:val="nil"/>
              <w:right w:val="nil"/>
            </w:tcBorders>
            <w:shd w:val="clear" w:color="auto" w:fill="auto"/>
            <w:noWrap/>
            <w:vAlign w:val="bottom"/>
            <w:hideMark/>
          </w:tcPr>
          <w:p w14:paraId="4EF7808B" w14:textId="01A34759" w:rsidR="00DA18F9" w:rsidRPr="002C3397" w:rsidRDefault="00DA18F9" w:rsidP="00DA18F9">
            <w:pPr>
              <w:widowControl/>
              <w:jc w:val="center"/>
              <w:rPr>
                <w:rFonts w:ascii="Arial" w:eastAsia="等线" w:hAnsi="Arial" w:cs="Arial"/>
                <w:color w:val="000000"/>
                <w:kern w:val="0"/>
                <w:szCs w:val="21"/>
              </w:rPr>
            </w:pPr>
            <w:r>
              <w:rPr>
                <w:rFonts w:ascii="Arial" w:eastAsia="等线" w:hAnsi="Arial" w:cs="Arial"/>
                <w:noProof/>
                <w:color w:val="000000"/>
                <w:kern w:val="0"/>
                <w:szCs w:val="21"/>
              </w:rPr>
              <w:t>[</w:t>
            </w:r>
            <w:r w:rsidR="00F05D34">
              <w:rPr>
                <w:rFonts w:ascii="Arial" w:eastAsia="等线" w:hAnsi="Arial" w:cs="Arial"/>
                <w:noProof/>
                <w:color w:val="000000"/>
                <w:kern w:val="0"/>
                <w:szCs w:val="21"/>
              </w:rPr>
              <w:t>259</w:t>
            </w:r>
            <w:r>
              <w:rPr>
                <w:rFonts w:ascii="Arial" w:eastAsia="等线" w:hAnsi="Arial" w:cs="Arial"/>
                <w:noProof/>
                <w:color w:val="000000"/>
                <w:kern w:val="0"/>
                <w:szCs w:val="21"/>
              </w:rPr>
              <w:t>]</w:t>
            </w:r>
          </w:p>
        </w:tc>
      </w:tr>
      <w:tr w:rsidR="00DA18F9" w:rsidRPr="002C3397" w14:paraId="46B7AB1A"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3130FD14" w14:textId="6E77BB79" w:rsidR="00DA18F9" w:rsidRPr="002C3397" w:rsidRDefault="00DA18F9" w:rsidP="00DA18F9">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ENSMUSG00000075602</w:t>
            </w:r>
          </w:p>
        </w:tc>
        <w:tc>
          <w:tcPr>
            <w:tcW w:w="916" w:type="pct"/>
            <w:gridSpan w:val="2"/>
            <w:tcBorders>
              <w:top w:val="nil"/>
              <w:left w:val="nil"/>
              <w:bottom w:val="nil"/>
              <w:right w:val="nil"/>
            </w:tcBorders>
            <w:shd w:val="clear" w:color="auto" w:fill="auto"/>
            <w:noWrap/>
            <w:vAlign w:val="center"/>
            <w:hideMark/>
          </w:tcPr>
          <w:p w14:paraId="3F69AEB3" w14:textId="39D86B25" w:rsidR="00DA18F9" w:rsidRPr="002C3397" w:rsidRDefault="00DA18F9" w:rsidP="00DA18F9">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Ly6a</w:t>
            </w:r>
          </w:p>
        </w:tc>
        <w:tc>
          <w:tcPr>
            <w:tcW w:w="1169" w:type="pct"/>
            <w:tcBorders>
              <w:top w:val="nil"/>
              <w:left w:val="nil"/>
              <w:bottom w:val="nil"/>
              <w:right w:val="nil"/>
            </w:tcBorders>
            <w:shd w:val="clear" w:color="auto" w:fill="auto"/>
            <w:noWrap/>
            <w:vAlign w:val="center"/>
            <w:hideMark/>
          </w:tcPr>
          <w:p w14:paraId="545FD8FA" w14:textId="2F3CEE89"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-4.451 </w:t>
            </w:r>
          </w:p>
        </w:tc>
        <w:tc>
          <w:tcPr>
            <w:tcW w:w="500" w:type="pct"/>
            <w:tcBorders>
              <w:top w:val="nil"/>
              <w:left w:val="nil"/>
              <w:bottom w:val="nil"/>
              <w:right w:val="nil"/>
            </w:tcBorders>
            <w:shd w:val="clear" w:color="auto" w:fill="auto"/>
            <w:noWrap/>
            <w:vAlign w:val="center"/>
            <w:hideMark/>
          </w:tcPr>
          <w:p w14:paraId="7C13C163" w14:textId="0DAA9F32"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0.013 </w:t>
            </w:r>
          </w:p>
        </w:tc>
        <w:tc>
          <w:tcPr>
            <w:tcW w:w="500" w:type="pct"/>
            <w:gridSpan w:val="2"/>
            <w:tcBorders>
              <w:top w:val="nil"/>
              <w:left w:val="nil"/>
              <w:bottom w:val="nil"/>
              <w:right w:val="nil"/>
            </w:tcBorders>
            <w:shd w:val="clear" w:color="auto" w:fill="auto"/>
            <w:noWrap/>
            <w:vAlign w:val="center"/>
            <w:hideMark/>
          </w:tcPr>
          <w:p w14:paraId="1CEEF99D" w14:textId="430715AA"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0.027 </w:t>
            </w:r>
          </w:p>
        </w:tc>
        <w:tc>
          <w:tcPr>
            <w:tcW w:w="1000" w:type="pct"/>
            <w:tcBorders>
              <w:top w:val="nil"/>
              <w:left w:val="nil"/>
              <w:bottom w:val="nil"/>
              <w:right w:val="nil"/>
            </w:tcBorders>
            <w:shd w:val="clear" w:color="auto" w:fill="auto"/>
            <w:noWrap/>
            <w:vAlign w:val="bottom"/>
            <w:hideMark/>
          </w:tcPr>
          <w:p w14:paraId="16EABF40" w14:textId="5FDAE2FF" w:rsidR="00DA18F9" w:rsidRPr="002C3397" w:rsidRDefault="00DA18F9" w:rsidP="00DA18F9">
            <w:pPr>
              <w:widowControl/>
              <w:jc w:val="center"/>
              <w:rPr>
                <w:rFonts w:ascii="Arial" w:eastAsia="等线" w:hAnsi="Arial" w:cs="Arial"/>
                <w:color w:val="000000"/>
                <w:kern w:val="0"/>
                <w:szCs w:val="21"/>
              </w:rPr>
            </w:pPr>
            <w:r>
              <w:rPr>
                <w:rFonts w:ascii="Arial" w:eastAsia="等线" w:hAnsi="Arial" w:cs="Arial"/>
                <w:noProof/>
                <w:color w:val="000000"/>
                <w:kern w:val="0"/>
                <w:szCs w:val="21"/>
              </w:rPr>
              <w:t>[</w:t>
            </w:r>
            <w:r w:rsidR="00F05D34">
              <w:rPr>
                <w:rFonts w:ascii="Arial" w:eastAsia="等线" w:hAnsi="Arial" w:cs="Arial"/>
                <w:noProof/>
                <w:color w:val="000000"/>
                <w:kern w:val="0"/>
                <w:szCs w:val="21"/>
              </w:rPr>
              <w:t>260</w:t>
            </w:r>
            <w:r>
              <w:rPr>
                <w:rFonts w:ascii="Arial" w:eastAsia="等线" w:hAnsi="Arial" w:cs="Arial"/>
                <w:noProof/>
                <w:color w:val="000000"/>
                <w:kern w:val="0"/>
                <w:szCs w:val="21"/>
              </w:rPr>
              <w:t>]</w:t>
            </w:r>
          </w:p>
        </w:tc>
      </w:tr>
      <w:tr w:rsidR="00DA18F9" w:rsidRPr="002C3397" w14:paraId="39792F5B"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0F2BEEC6" w14:textId="302D0F57" w:rsidR="00DA18F9" w:rsidRPr="002C3397" w:rsidRDefault="00DA18F9" w:rsidP="00DA18F9">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ENSMUSG00000022483</w:t>
            </w:r>
          </w:p>
        </w:tc>
        <w:tc>
          <w:tcPr>
            <w:tcW w:w="916" w:type="pct"/>
            <w:gridSpan w:val="2"/>
            <w:tcBorders>
              <w:top w:val="nil"/>
              <w:left w:val="nil"/>
              <w:bottom w:val="nil"/>
              <w:right w:val="nil"/>
            </w:tcBorders>
            <w:shd w:val="clear" w:color="auto" w:fill="auto"/>
            <w:noWrap/>
            <w:vAlign w:val="center"/>
            <w:hideMark/>
          </w:tcPr>
          <w:p w14:paraId="2373CBBE" w14:textId="107AE0D2" w:rsidR="00DA18F9" w:rsidRPr="002C3397" w:rsidRDefault="00DA18F9" w:rsidP="00DA18F9">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Col2a1</w:t>
            </w:r>
          </w:p>
        </w:tc>
        <w:tc>
          <w:tcPr>
            <w:tcW w:w="1169" w:type="pct"/>
            <w:tcBorders>
              <w:top w:val="nil"/>
              <w:left w:val="nil"/>
              <w:bottom w:val="nil"/>
              <w:right w:val="nil"/>
            </w:tcBorders>
            <w:shd w:val="clear" w:color="auto" w:fill="auto"/>
            <w:noWrap/>
            <w:vAlign w:val="center"/>
            <w:hideMark/>
          </w:tcPr>
          <w:p w14:paraId="2C5BF923" w14:textId="51EFFEAD"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4.515 </w:t>
            </w:r>
          </w:p>
        </w:tc>
        <w:tc>
          <w:tcPr>
            <w:tcW w:w="500" w:type="pct"/>
            <w:tcBorders>
              <w:top w:val="nil"/>
              <w:left w:val="nil"/>
              <w:bottom w:val="nil"/>
              <w:right w:val="nil"/>
            </w:tcBorders>
            <w:shd w:val="clear" w:color="auto" w:fill="auto"/>
            <w:noWrap/>
            <w:vAlign w:val="center"/>
            <w:hideMark/>
          </w:tcPr>
          <w:p w14:paraId="5F7187A2" w14:textId="3DDDC166"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0.013 </w:t>
            </w:r>
          </w:p>
        </w:tc>
        <w:tc>
          <w:tcPr>
            <w:tcW w:w="500" w:type="pct"/>
            <w:gridSpan w:val="2"/>
            <w:tcBorders>
              <w:top w:val="nil"/>
              <w:left w:val="nil"/>
              <w:bottom w:val="nil"/>
              <w:right w:val="nil"/>
            </w:tcBorders>
            <w:shd w:val="clear" w:color="auto" w:fill="auto"/>
            <w:noWrap/>
            <w:vAlign w:val="center"/>
            <w:hideMark/>
          </w:tcPr>
          <w:p w14:paraId="216D3C7A" w14:textId="67BFEBE2"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0.027 </w:t>
            </w:r>
          </w:p>
        </w:tc>
        <w:tc>
          <w:tcPr>
            <w:tcW w:w="1000" w:type="pct"/>
            <w:tcBorders>
              <w:top w:val="nil"/>
              <w:left w:val="nil"/>
              <w:bottom w:val="nil"/>
              <w:right w:val="nil"/>
            </w:tcBorders>
            <w:shd w:val="clear" w:color="auto" w:fill="auto"/>
            <w:noWrap/>
            <w:vAlign w:val="bottom"/>
            <w:hideMark/>
          </w:tcPr>
          <w:p w14:paraId="76B5DA00" w14:textId="7F1FC9E8" w:rsidR="00DA18F9" w:rsidRPr="002C3397" w:rsidRDefault="00DA18F9" w:rsidP="00DA18F9">
            <w:pPr>
              <w:widowControl/>
              <w:jc w:val="center"/>
              <w:rPr>
                <w:rFonts w:ascii="Arial" w:eastAsia="等线" w:hAnsi="Arial" w:cs="Arial"/>
                <w:color w:val="000000"/>
                <w:kern w:val="0"/>
                <w:szCs w:val="21"/>
              </w:rPr>
            </w:pPr>
            <w:r>
              <w:rPr>
                <w:rFonts w:ascii="Arial" w:eastAsia="等线" w:hAnsi="Arial" w:cs="Arial"/>
                <w:noProof/>
                <w:color w:val="000000"/>
                <w:kern w:val="0"/>
                <w:szCs w:val="21"/>
              </w:rPr>
              <w:t>[</w:t>
            </w:r>
            <w:r w:rsidR="00F05D34">
              <w:rPr>
                <w:rFonts w:ascii="Arial" w:eastAsia="等线" w:hAnsi="Arial" w:cs="Arial"/>
                <w:noProof/>
                <w:color w:val="000000"/>
                <w:kern w:val="0"/>
                <w:szCs w:val="21"/>
              </w:rPr>
              <w:t>261</w:t>
            </w:r>
            <w:r>
              <w:rPr>
                <w:rFonts w:ascii="Arial" w:eastAsia="等线" w:hAnsi="Arial" w:cs="Arial"/>
                <w:noProof/>
                <w:color w:val="000000"/>
                <w:kern w:val="0"/>
                <w:szCs w:val="21"/>
              </w:rPr>
              <w:t>]</w:t>
            </w:r>
          </w:p>
        </w:tc>
      </w:tr>
      <w:tr w:rsidR="00DA18F9" w:rsidRPr="002C3397" w14:paraId="533BA0B0"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6B66A90A" w14:textId="07DBC088" w:rsidR="00DA18F9" w:rsidRPr="002C3397" w:rsidRDefault="00DA18F9" w:rsidP="00DA18F9">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ENSMUSG00000020963</w:t>
            </w:r>
          </w:p>
        </w:tc>
        <w:tc>
          <w:tcPr>
            <w:tcW w:w="916" w:type="pct"/>
            <w:gridSpan w:val="2"/>
            <w:tcBorders>
              <w:top w:val="nil"/>
              <w:left w:val="nil"/>
              <w:bottom w:val="nil"/>
              <w:right w:val="nil"/>
            </w:tcBorders>
            <w:shd w:val="clear" w:color="auto" w:fill="auto"/>
            <w:noWrap/>
            <w:vAlign w:val="center"/>
            <w:hideMark/>
          </w:tcPr>
          <w:p w14:paraId="5C6FCFDB" w14:textId="08C224C6" w:rsidR="00DA18F9" w:rsidRPr="002C3397" w:rsidRDefault="00DA18F9" w:rsidP="00DA18F9">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Tshr</w:t>
            </w:r>
          </w:p>
        </w:tc>
        <w:tc>
          <w:tcPr>
            <w:tcW w:w="1169" w:type="pct"/>
            <w:tcBorders>
              <w:top w:val="nil"/>
              <w:left w:val="nil"/>
              <w:bottom w:val="nil"/>
              <w:right w:val="nil"/>
            </w:tcBorders>
            <w:shd w:val="clear" w:color="auto" w:fill="auto"/>
            <w:noWrap/>
            <w:vAlign w:val="center"/>
            <w:hideMark/>
          </w:tcPr>
          <w:p w14:paraId="4885DBB3" w14:textId="57A54B89"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2.344 </w:t>
            </w:r>
          </w:p>
        </w:tc>
        <w:tc>
          <w:tcPr>
            <w:tcW w:w="500" w:type="pct"/>
            <w:tcBorders>
              <w:top w:val="nil"/>
              <w:left w:val="nil"/>
              <w:bottom w:val="nil"/>
              <w:right w:val="nil"/>
            </w:tcBorders>
            <w:shd w:val="clear" w:color="auto" w:fill="auto"/>
            <w:noWrap/>
            <w:vAlign w:val="center"/>
            <w:hideMark/>
          </w:tcPr>
          <w:p w14:paraId="524A4562" w14:textId="38BA5361"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0.015 </w:t>
            </w:r>
          </w:p>
        </w:tc>
        <w:tc>
          <w:tcPr>
            <w:tcW w:w="500" w:type="pct"/>
            <w:gridSpan w:val="2"/>
            <w:tcBorders>
              <w:top w:val="nil"/>
              <w:left w:val="nil"/>
              <w:bottom w:val="nil"/>
              <w:right w:val="nil"/>
            </w:tcBorders>
            <w:shd w:val="clear" w:color="auto" w:fill="auto"/>
            <w:noWrap/>
            <w:vAlign w:val="center"/>
            <w:hideMark/>
          </w:tcPr>
          <w:p w14:paraId="065494E6" w14:textId="0A6C7CC5"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0.031 </w:t>
            </w:r>
          </w:p>
        </w:tc>
        <w:tc>
          <w:tcPr>
            <w:tcW w:w="1000" w:type="pct"/>
            <w:tcBorders>
              <w:top w:val="nil"/>
              <w:left w:val="nil"/>
              <w:bottom w:val="nil"/>
              <w:right w:val="nil"/>
            </w:tcBorders>
            <w:shd w:val="clear" w:color="auto" w:fill="auto"/>
            <w:noWrap/>
            <w:vAlign w:val="bottom"/>
            <w:hideMark/>
          </w:tcPr>
          <w:p w14:paraId="75E0FC4A" w14:textId="61FD0E45" w:rsidR="00DA18F9" w:rsidRPr="002C3397" w:rsidRDefault="00DA18F9" w:rsidP="00DA18F9">
            <w:pPr>
              <w:widowControl/>
              <w:jc w:val="center"/>
              <w:rPr>
                <w:rFonts w:ascii="Arial" w:eastAsia="等线" w:hAnsi="Arial" w:cs="Arial"/>
                <w:color w:val="000000"/>
                <w:kern w:val="0"/>
                <w:szCs w:val="21"/>
              </w:rPr>
            </w:pPr>
            <w:r>
              <w:rPr>
                <w:rFonts w:ascii="Arial" w:eastAsia="等线" w:hAnsi="Arial" w:cs="Arial"/>
                <w:noProof/>
                <w:color w:val="000000"/>
                <w:kern w:val="0"/>
                <w:szCs w:val="21"/>
              </w:rPr>
              <w:t>[</w:t>
            </w:r>
            <w:r w:rsidR="00F05D34">
              <w:rPr>
                <w:rFonts w:ascii="Arial" w:eastAsia="等线" w:hAnsi="Arial" w:cs="Arial"/>
                <w:noProof/>
                <w:color w:val="000000"/>
                <w:kern w:val="0"/>
                <w:szCs w:val="21"/>
              </w:rPr>
              <w:t>262</w:t>
            </w:r>
            <w:r>
              <w:rPr>
                <w:rFonts w:ascii="Arial" w:eastAsia="等线" w:hAnsi="Arial" w:cs="Arial"/>
                <w:noProof/>
                <w:color w:val="000000"/>
                <w:kern w:val="0"/>
                <w:szCs w:val="21"/>
              </w:rPr>
              <w:t>]</w:t>
            </w:r>
          </w:p>
        </w:tc>
      </w:tr>
      <w:tr w:rsidR="00DA18F9" w:rsidRPr="002C3397" w14:paraId="3F477AD3"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319058E1" w14:textId="0974BE96" w:rsidR="00DA18F9" w:rsidRPr="002C3397" w:rsidRDefault="00DA18F9" w:rsidP="00DA18F9">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ENSMUSG00000022504</w:t>
            </w:r>
          </w:p>
        </w:tc>
        <w:tc>
          <w:tcPr>
            <w:tcW w:w="916" w:type="pct"/>
            <w:gridSpan w:val="2"/>
            <w:tcBorders>
              <w:top w:val="nil"/>
              <w:left w:val="nil"/>
              <w:bottom w:val="nil"/>
              <w:right w:val="nil"/>
            </w:tcBorders>
            <w:shd w:val="clear" w:color="auto" w:fill="auto"/>
            <w:noWrap/>
            <w:vAlign w:val="center"/>
            <w:hideMark/>
          </w:tcPr>
          <w:p w14:paraId="09AE7A85" w14:textId="0C579CA2" w:rsidR="00DA18F9" w:rsidRPr="002C3397" w:rsidRDefault="00DA18F9" w:rsidP="00DA18F9">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Ciita</w:t>
            </w:r>
          </w:p>
        </w:tc>
        <w:tc>
          <w:tcPr>
            <w:tcW w:w="1169" w:type="pct"/>
            <w:tcBorders>
              <w:top w:val="nil"/>
              <w:left w:val="nil"/>
              <w:bottom w:val="nil"/>
              <w:right w:val="nil"/>
            </w:tcBorders>
            <w:shd w:val="clear" w:color="auto" w:fill="auto"/>
            <w:noWrap/>
            <w:vAlign w:val="center"/>
            <w:hideMark/>
          </w:tcPr>
          <w:p w14:paraId="059EFE70" w14:textId="3A5156E4"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2.561 </w:t>
            </w:r>
          </w:p>
        </w:tc>
        <w:tc>
          <w:tcPr>
            <w:tcW w:w="500" w:type="pct"/>
            <w:tcBorders>
              <w:top w:val="nil"/>
              <w:left w:val="nil"/>
              <w:bottom w:val="nil"/>
              <w:right w:val="nil"/>
            </w:tcBorders>
            <w:shd w:val="clear" w:color="auto" w:fill="auto"/>
            <w:noWrap/>
            <w:vAlign w:val="center"/>
            <w:hideMark/>
          </w:tcPr>
          <w:p w14:paraId="3F93B20E" w14:textId="7621EC4F"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0.018 </w:t>
            </w:r>
          </w:p>
        </w:tc>
        <w:tc>
          <w:tcPr>
            <w:tcW w:w="500" w:type="pct"/>
            <w:gridSpan w:val="2"/>
            <w:tcBorders>
              <w:top w:val="nil"/>
              <w:left w:val="nil"/>
              <w:bottom w:val="nil"/>
              <w:right w:val="nil"/>
            </w:tcBorders>
            <w:shd w:val="clear" w:color="auto" w:fill="auto"/>
            <w:noWrap/>
            <w:vAlign w:val="center"/>
            <w:hideMark/>
          </w:tcPr>
          <w:p w14:paraId="202292BD" w14:textId="7F7EE033"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0.038 </w:t>
            </w:r>
          </w:p>
        </w:tc>
        <w:tc>
          <w:tcPr>
            <w:tcW w:w="1000" w:type="pct"/>
            <w:tcBorders>
              <w:top w:val="nil"/>
              <w:left w:val="nil"/>
              <w:bottom w:val="nil"/>
              <w:right w:val="nil"/>
            </w:tcBorders>
            <w:shd w:val="clear" w:color="auto" w:fill="auto"/>
            <w:noWrap/>
            <w:vAlign w:val="bottom"/>
            <w:hideMark/>
          </w:tcPr>
          <w:p w14:paraId="6964135B" w14:textId="05D2CC3E" w:rsidR="00DA18F9" w:rsidRPr="002C3397" w:rsidRDefault="00DA18F9" w:rsidP="00DA18F9">
            <w:pPr>
              <w:widowControl/>
              <w:jc w:val="center"/>
              <w:rPr>
                <w:rFonts w:ascii="Arial" w:eastAsia="等线" w:hAnsi="Arial" w:cs="Arial"/>
                <w:color w:val="000000"/>
                <w:kern w:val="0"/>
                <w:szCs w:val="21"/>
              </w:rPr>
            </w:pPr>
            <w:r>
              <w:rPr>
                <w:rFonts w:ascii="Arial" w:eastAsia="等线" w:hAnsi="Arial" w:cs="Arial"/>
                <w:noProof/>
                <w:color w:val="000000"/>
                <w:kern w:val="0"/>
                <w:szCs w:val="21"/>
              </w:rPr>
              <w:t>[</w:t>
            </w:r>
            <w:r w:rsidR="00F05D34">
              <w:rPr>
                <w:rFonts w:ascii="Arial" w:eastAsia="等线" w:hAnsi="Arial" w:cs="Arial"/>
                <w:noProof/>
                <w:color w:val="000000"/>
                <w:kern w:val="0"/>
                <w:szCs w:val="21"/>
              </w:rPr>
              <w:t>263</w:t>
            </w:r>
            <w:r>
              <w:rPr>
                <w:rFonts w:ascii="Arial" w:eastAsia="等线" w:hAnsi="Arial" w:cs="Arial"/>
                <w:noProof/>
                <w:color w:val="000000"/>
                <w:kern w:val="0"/>
                <w:szCs w:val="21"/>
              </w:rPr>
              <w:t>]</w:t>
            </w:r>
          </w:p>
        </w:tc>
      </w:tr>
      <w:tr w:rsidR="00DA18F9" w:rsidRPr="002C3397" w14:paraId="145C0BBF"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343FD8A7" w14:textId="69099F93" w:rsidR="00DA18F9" w:rsidRPr="002C3397" w:rsidRDefault="00DA18F9" w:rsidP="00DA18F9">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ENSMUSG00000007888</w:t>
            </w:r>
          </w:p>
        </w:tc>
        <w:tc>
          <w:tcPr>
            <w:tcW w:w="916" w:type="pct"/>
            <w:gridSpan w:val="2"/>
            <w:tcBorders>
              <w:top w:val="nil"/>
              <w:left w:val="nil"/>
              <w:bottom w:val="nil"/>
              <w:right w:val="nil"/>
            </w:tcBorders>
            <w:shd w:val="clear" w:color="auto" w:fill="auto"/>
            <w:noWrap/>
            <w:vAlign w:val="center"/>
            <w:hideMark/>
          </w:tcPr>
          <w:p w14:paraId="10675D02" w14:textId="5DD58E1C" w:rsidR="00DA18F9" w:rsidRPr="002C3397" w:rsidRDefault="00DA18F9" w:rsidP="00DA18F9">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Crlf1</w:t>
            </w:r>
          </w:p>
        </w:tc>
        <w:tc>
          <w:tcPr>
            <w:tcW w:w="1169" w:type="pct"/>
            <w:tcBorders>
              <w:top w:val="nil"/>
              <w:left w:val="nil"/>
              <w:bottom w:val="nil"/>
              <w:right w:val="nil"/>
            </w:tcBorders>
            <w:shd w:val="clear" w:color="auto" w:fill="auto"/>
            <w:noWrap/>
            <w:vAlign w:val="center"/>
            <w:hideMark/>
          </w:tcPr>
          <w:p w14:paraId="6867BD23" w14:textId="4115F86D"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2.157 </w:t>
            </w:r>
          </w:p>
        </w:tc>
        <w:tc>
          <w:tcPr>
            <w:tcW w:w="500" w:type="pct"/>
            <w:tcBorders>
              <w:top w:val="nil"/>
              <w:left w:val="nil"/>
              <w:bottom w:val="nil"/>
              <w:right w:val="nil"/>
            </w:tcBorders>
            <w:shd w:val="clear" w:color="auto" w:fill="auto"/>
            <w:noWrap/>
            <w:vAlign w:val="center"/>
            <w:hideMark/>
          </w:tcPr>
          <w:p w14:paraId="6ECFD662" w14:textId="22741799"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0.020 </w:t>
            </w:r>
          </w:p>
        </w:tc>
        <w:tc>
          <w:tcPr>
            <w:tcW w:w="500" w:type="pct"/>
            <w:gridSpan w:val="2"/>
            <w:tcBorders>
              <w:top w:val="nil"/>
              <w:left w:val="nil"/>
              <w:bottom w:val="nil"/>
              <w:right w:val="nil"/>
            </w:tcBorders>
            <w:shd w:val="clear" w:color="auto" w:fill="auto"/>
            <w:noWrap/>
            <w:vAlign w:val="center"/>
            <w:hideMark/>
          </w:tcPr>
          <w:p w14:paraId="3660524E" w14:textId="2CCE0B34"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0.042 </w:t>
            </w:r>
          </w:p>
        </w:tc>
        <w:tc>
          <w:tcPr>
            <w:tcW w:w="1000" w:type="pct"/>
            <w:tcBorders>
              <w:top w:val="nil"/>
              <w:left w:val="nil"/>
              <w:bottom w:val="nil"/>
              <w:right w:val="nil"/>
            </w:tcBorders>
            <w:shd w:val="clear" w:color="auto" w:fill="auto"/>
            <w:noWrap/>
            <w:vAlign w:val="bottom"/>
            <w:hideMark/>
          </w:tcPr>
          <w:p w14:paraId="284258F9" w14:textId="7B6C149C"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noProof/>
                <w:color w:val="000000"/>
                <w:kern w:val="0"/>
                <w:szCs w:val="21"/>
              </w:rPr>
              <w:t>[</w:t>
            </w:r>
            <w:r w:rsidR="00F05D34" w:rsidRPr="002C3397">
              <w:rPr>
                <w:rFonts w:ascii="Arial" w:eastAsia="等线" w:hAnsi="Arial" w:cs="Arial"/>
                <w:noProof/>
                <w:color w:val="000000"/>
                <w:kern w:val="0"/>
                <w:szCs w:val="21"/>
              </w:rPr>
              <w:t>77</w:t>
            </w:r>
            <w:r w:rsidRPr="002C3397">
              <w:rPr>
                <w:rFonts w:ascii="Arial" w:eastAsia="等线" w:hAnsi="Arial" w:cs="Arial"/>
                <w:noProof/>
                <w:color w:val="000000"/>
                <w:kern w:val="0"/>
                <w:szCs w:val="21"/>
              </w:rPr>
              <w:t>]</w:t>
            </w:r>
          </w:p>
        </w:tc>
      </w:tr>
      <w:tr w:rsidR="00DA18F9" w:rsidRPr="002C3397" w14:paraId="47A78B14" w14:textId="77777777" w:rsidTr="003075F3">
        <w:trPr>
          <w:trHeight w:val="310"/>
        </w:trPr>
        <w:tc>
          <w:tcPr>
            <w:tcW w:w="915" w:type="pct"/>
            <w:gridSpan w:val="2"/>
            <w:tcBorders>
              <w:top w:val="nil"/>
              <w:left w:val="nil"/>
              <w:bottom w:val="nil"/>
              <w:right w:val="nil"/>
            </w:tcBorders>
            <w:shd w:val="clear" w:color="auto" w:fill="auto"/>
            <w:noWrap/>
            <w:vAlign w:val="center"/>
          </w:tcPr>
          <w:p w14:paraId="15A4A300" w14:textId="6F645921" w:rsidR="00DA18F9" w:rsidRPr="002C3397" w:rsidRDefault="00DA18F9" w:rsidP="00DA18F9">
            <w:pPr>
              <w:widowControl/>
              <w:jc w:val="left"/>
              <w:rPr>
                <w:rFonts w:ascii="Arial" w:eastAsia="等线" w:hAnsi="Arial" w:cs="Arial"/>
                <w:color w:val="000000"/>
                <w:szCs w:val="21"/>
              </w:rPr>
            </w:pPr>
            <w:r w:rsidRPr="002C3397">
              <w:rPr>
                <w:rFonts w:ascii="Arial" w:eastAsia="等线" w:hAnsi="Arial" w:cs="Arial"/>
                <w:color w:val="000000"/>
                <w:szCs w:val="21"/>
              </w:rPr>
              <w:t>ENSMUSG00000022382</w:t>
            </w:r>
          </w:p>
        </w:tc>
        <w:tc>
          <w:tcPr>
            <w:tcW w:w="916" w:type="pct"/>
            <w:gridSpan w:val="2"/>
            <w:tcBorders>
              <w:top w:val="nil"/>
              <w:left w:val="nil"/>
              <w:bottom w:val="nil"/>
              <w:right w:val="nil"/>
            </w:tcBorders>
            <w:shd w:val="clear" w:color="auto" w:fill="auto"/>
            <w:noWrap/>
            <w:vAlign w:val="center"/>
          </w:tcPr>
          <w:p w14:paraId="680DF8C9" w14:textId="77BC43BE" w:rsidR="00DA18F9" w:rsidRPr="002C3397" w:rsidRDefault="00DA18F9" w:rsidP="00DA18F9">
            <w:pPr>
              <w:widowControl/>
              <w:jc w:val="center"/>
              <w:rPr>
                <w:rFonts w:ascii="Arial" w:eastAsia="等线" w:hAnsi="Arial" w:cs="Arial"/>
                <w:i/>
                <w:iCs/>
                <w:color w:val="000000"/>
                <w:szCs w:val="21"/>
              </w:rPr>
            </w:pPr>
            <w:r w:rsidRPr="002C3397">
              <w:rPr>
                <w:rFonts w:ascii="Arial" w:eastAsia="等线" w:hAnsi="Arial" w:cs="Arial"/>
                <w:i/>
                <w:iCs/>
                <w:color w:val="000000"/>
                <w:szCs w:val="21"/>
              </w:rPr>
              <w:t>Wnt7b</w:t>
            </w:r>
          </w:p>
        </w:tc>
        <w:tc>
          <w:tcPr>
            <w:tcW w:w="1169" w:type="pct"/>
            <w:tcBorders>
              <w:top w:val="nil"/>
              <w:left w:val="nil"/>
              <w:bottom w:val="nil"/>
              <w:right w:val="nil"/>
            </w:tcBorders>
            <w:shd w:val="clear" w:color="auto" w:fill="auto"/>
            <w:noWrap/>
            <w:vAlign w:val="center"/>
          </w:tcPr>
          <w:p w14:paraId="7B0E234A" w14:textId="0C7FBA80" w:rsidR="00DA18F9" w:rsidRPr="002C3397" w:rsidRDefault="00DA18F9" w:rsidP="00DA18F9">
            <w:pPr>
              <w:widowControl/>
              <w:jc w:val="center"/>
              <w:rPr>
                <w:rFonts w:ascii="Arial" w:eastAsia="等线" w:hAnsi="Arial" w:cs="Arial"/>
                <w:color w:val="000000"/>
                <w:szCs w:val="21"/>
              </w:rPr>
            </w:pPr>
            <w:r w:rsidRPr="002C3397">
              <w:rPr>
                <w:rFonts w:ascii="Arial" w:eastAsia="等线" w:hAnsi="Arial" w:cs="Arial"/>
                <w:color w:val="000000"/>
                <w:szCs w:val="21"/>
              </w:rPr>
              <w:t>-2.857</w:t>
            </w:r>
          </w:p>
        </w:tc>
        <w:tc>
          <w:tcPr>
            <w:tcW w:w="500" w:type="pct"/>
            <w:tcBorders>
              <w:top w:val="nil"/>
              <w:left w:val="nil"/>
              <w:bottom w:val="nil"/>
              <w:right w:val="nil"/>
            </w:tcBorders>
            <w:shd w:val="clear" w:color="auto" w:fill="auto"/>
            <w:noWrap/>
            <w:vAlign w:val="center"/>
          </w:tcPr>
          <w:p w14:paraId="686CB9C7" w14:textId="1B227853" w:rsidR="00DA18F9" w:rsidRPr="002C3397" w:rsidRDefault="00DA18F9" w:rsidP="00DA18F9">
            <w:pPr>
              <w:widowControl/>
              <w:jc w:val="center"/>
              <w:rPr>
                <w:rFonts w:ascii="Arial" w:eastAsia="等线" w:hAnsi="Arial" w:cs="Arial"/>
                <w:color w:val="000000"/>
                <w:szCs w:val="21"/>
              </w:rPr>
            </w:pPr>
            <w:r w:rsidRPr="002C3397">
              <w:rPr>
                <w:rFonts w:ascii="Arial" w:eastAsia="等线" w:hAnsi="Arial" w:cs="Arial"/>
                <w:color w:val="000000"/>
                <w:szCs w:val="21"/>
              </w:rPr>
              <w:t>0.022</w:t>
            </w:r>
          </w:p>
        </w:tc>
        <w:tc>
          <w:tcPr>
            <w:tcW w:w="500" w:type="pct"/>
            <w:gridSpan w:val="2"/>
            <w:tcBorders>
              <w:top w:val="nil"/>
              <w:left w:val="nil"/>
              <w:bottom w:val="nil"/>
              <w:right w:val="nil"/>
            </w:tcBorders>
            <w:shd w:val="clear" w:color="auto" w:fill="auto"/>
            <w:noWrap/>
            <w:vAlign w:val="center"/>
          </w:tcPr>
          <w:p w14:paraId="2E1FF6B6" w14:textId="146EC7FF" w:rsidR="00DA18F9" w:rsidRPr="002C3397" w:rsidRDefault="00DA18F9" w:rsidP="00DA18F9">
            <w:pPr>
              <w:widowControl/>
              <w:jc w:val="center"/>
              <w:rPr>
                <w:rFonts w:ascii="Arial" w:eastAsia="等线" w:hAnsi="Arial" w:cs="Arial"/>
                <w:color w:val="000000"/>
                <w:szCs w:val="21"/>
              </w:rPr>
            </w:pPr>
            <w:r w:rsidRPr="002C3397">
              <w:rPr>
                <w:rFonts w:ascii="Arial" w:eastAsia="等线" w:hAnsi="Arial" w:cs="Arial"/>
                <w:color w:val="000000"/>
                <w:szCs w:val="21"/>
              </w:rPr>
              <w:t>0.045</w:t>
            </w:r>
          </w:p>
        </w:tc>
        <w:tc>
          <w:tcPr>
            <w:tcW w:w="1000" w:type="pct"/>
            <w:tcBorders>
              <w:top w:val="nil"/>
              <w:left w:val="nil"/>
              <w:bottom w:val="nil"/>
              <w:right w:val="nil"/>
            </w:tcBorders>
            <w:shd w:val="clear" w:color="auto" w:fill="auto"/>
            <w:noWrap/>
            <w:vAlign w:val="bottom"/>
          </w:tcPr>
          <w:p w14:paraId="1B4881C8" w14:textId="1EDC5570" w:rsidR="00DA18F9" w:rsidRPr="002C3397" w:rsidRDefault="00DA18F9" w:rsidP="00DA18F9">
            <w:pPr>
              <w:widowControl/>
              <w:jc w:val="center"/>
              <w:rPr>
                <w:rFonts w:ascii="Arial" w:eastAsia="等线" w:hAnsi="Arial" w:cs="Arial"/>
                <w:color w:val="000000"/>
                <w:kern w:val="0"/>
                <w:szCs w:val="21"/>
              </w:rPr>
            </w:pPr>
            <w:r>
              <w:rPr>
                <w:rFonts w:ascii="Arial" w:eastAsia="等线" w:hAnsi="Arial" w:cs="Arial"/>
                <w:noProof/>
                <w:color w:val="000000"/>
                <w:kern w:val="0"/>
                <w:szCs w:val="21"/>
              </w:rPr>
              <w:t>[</w:t>
            </w:r>
            <w:r w:rsidR="00F05D34">
              <w:rPr>
                <w:rFonts w:ascii="Arial" w:eastAsia="等线" w:hAnsi="Arial" w:cs="Arial"/>
                <w:noProof/>
                <w:color w:val="000000"/>
                <w:kern w:val="0"/>
                <w:szCs w:val="21"/>
              </w:rPr>
              <w:t>264</w:t>
            </w:r>
            <w:r>
              <w:rPr>
                <w:rFonts w:ascii="Arial" w:eastAsia="等线" w:hAnsi="Arial" w:cs="Arial"/>
                <w:noProof/>
                <w:color w:val="000000"/>
                <w:kern w:val="0"/>
                <w:szCs w:val="21"/>
              </w:rPr>
              <w:t>]</w:t>
            </w:r>
          </w:p>
        </w:tc>
      </w:tr>
      <w:tr w:rsidR="00DA18F9" w:rsidRPr="002C3397" w14:paraId="04A61FCA"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2A3B5636" w14:textId="7F1A7A50" w:rsidR="00DA18F9" w:rsidRPr="002C3397" w:rsidRDefault="00DA18F9" w:rsidP="00DA18F9">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ENSMUSG00000021388</w:t>
            </w:r>
          </w:p>
        </w:tc>
        <w:tc>
          <w:tcPr>
            <w:tcW w:w="916" w:type="pct"/>
            <w:gridSpan w:val="2"/>
            <w:tcBorders>
              <w:top w:val="nil"/>
              <w:left w:val="nil"/>
              <w:bottom w:val="nil"/>
              <w:right w:val="nil"/>
            </w:tcBorders>
            <w:shd w:val="clear" w:color="auto" w:fill="auto"/>
            <w:noWrap/>
            <w:vAlign w:val="center"/>
            <w:hideMark/>
          </w:tcPr>
          <w:p w14:paraId="41671575" w14:textId="0849A1CC" w:rsidR="00DA18F9" w:rsidRPr="002C3397" w:rsidRDefault="00DA18F9" w:rsidP="00DA18F9">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Aspn</w:t>
            </w:r>
          </w:p>
        </w:tc>
        <w:tc>
          <w:tcPr>
            <w:tcW w:w="1169" w:type="pct"/>
            <w:tcBorders>
              <w:top w:val="nil"/>
              <w:left w:val="nil"/>
              <w:bottom w:val="nil"/>
              <w:right w:val="nil"/>
            </w:tcBorders>
            <w:shd w:val="clear" w:color="auto" w:fill="auto"/>
            <w:noWrap/>
            <w:vAlign w:val="center"/>
            <w:hideMark/>
          </w:tcPr>
          <w:p w14:paraId="2AAEFA0E" w14:textId="61DCF0A3"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2.975 </w:t>
            </w:r>
          </w:p>
        </w:tc>
        <w:tc>
          <w:tcPr>
            <w:tcW w:w="500" w:type="pct"/>
            <w:tcBorders>
              <w:top w:val="nil"/>
              <w:left w:val="nil"/>
              <w:bottom w:val="nil"/>
              <w:right w:val="nil"/>
            </w:tcBorders>
            <w:shd w:val="clear" w:color="auto" w:fill="auto"/>
            <w:noWrap/>
            <w:vAlign w:val="center"/>
            <w:hideMark/>
          </w:tcPr>
          <w:p w14:paraId="15BBA8AE" w14:textId="07C2D81C"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0.022 </w:t>
            </w:r>
          </w:p>
        </w:tc>
        <w:tc>
          <w:tcPr>
            <w:tcW w:w="500" w:type="pct"/>
            <w:gridSpan w:val="2"/>
            <w:tcBorders>
              <w:top w:val="nil"/>
              <w:left w:val="nil"/>
              <w:bottom w:val="nil"/>
              <w:right w:val="nil"/>
            </w:tcBorders>
            <w:shd w:val="clear" w:color="auto" w:fill="auto"/>
            <w:noWrap/>
            <w:vAlign w:val="center"/>
            <w:hideMark/>
          </w:tcPr>
          <w:p w14:paraId="5B42DA86" w14:textId="0C21F653"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0.045 </w:t>
            </w:r>
          </w:p>
        </w:tc>
        <w:tc>
          <w:tcPr>
            <w:tcW w:w="1000" w:type="pct"/>
            <w:tcBorders>
              <w:top w:val="nil"/>
              <w:left w:val="nil"/>
              <w:bottom w:val="nil"/>
              <w:right w:val="nil"/>
            </w:tcBorders>
            <w:shd w:val="clear" w:color="auto" w:fill="auto"/>
            <w:noWrap/>
            <w:vAlign w:val="bottom"/>
            <w:hideMark/>
          </w:tcPr>
          <w:p w14:paraId="2EC6332D" w14:textId="04EFC3F6" w:rsidR="00DA18F9" w:rsidRPr="002C3397" w:rsidRDefault="00DA18F9" w:rsidP="00DA18F9">
            <w:pPr>
              <w:widowControl/>
              <w:jc w:val="center"/>
              <w:rPr>
                <w:rFonts w:ascii="Arial" w:eastAsia="等线" w:hAnsi="Arial" w:cs="Arial"/>
                <w:color w:val="000000"/>
                <w:kern w:val="0"/>
                <w:szCs w:val="21"/>
              </w:rPr>
            </w:pPr>
            <w:r>
              <w:rPr>
                <w:rFonts w:ascii="Arial" w:eastAsia="等线" w:hAnsi="Arial" w:cs="Arial"/>
                <w:noProof/>
                <w:color w:val="000000"/>
                <w:kern w:val="0"/>
                <w:szCs w:val="21"/>
              </w:rPr>
              <w:t>[</w:t>
            </w:r>
            <w:r w:rsidR="00F05D34">
              <w:rPr>
                <w:rFonts w:ascii="Arial" w:eastAsia="等线" w:hAnsi="Arial" w:cs="Arial"/>
                <w:noProof/>
                <w:color w:val="000000"/>
                <w:kern w:val="0"/>
                <w:szCs w:val="21"/>
              </w:rPr>
              <w:t>265</w:t>
            </w:r>
            <w:r>
              <w:rPr>
                <w:rFonts w:ascii="Arial" w:eastAsia="等线" w:hAnsi="Arial" w:cs="Arial"/>
                <w:noProof/>
                <w:color w:val="000000"/>
                <w:kern w:val="0"/>
                <w:szCs w:val="21"/>
              </w:rPr>
              <w:t>]</w:t>
            </w:r>
          </w:p>
        </w:tc>
      </w:tr>
      <w:tr w:rsidR="00DA18F9" w:rsidRPr="002C3397" w14:paraId="2651AAF8"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741E4512" w14:textId="52730724" w:rsidR="00DA18F9" w:rsidRPr="002C3397" w:rsidRDefault="00DA18F9" w:rsidP="00DA18F9">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ENSMUSG00000023057</w:t>
            </w:r>
          </w:p>
        </w:tc>
        <w:tc>
          <w:tcPr>
            <w:tcW w:w="916" w:type="pct"/>
            <w:gridSpan w:val="2"/>
            <w:tcBorders>
              <w:top w:val="nil"/>
              <w:left w:val="nil"/>
              <w:bottom w:val="nil"/>
              <w:right w:val="nil"/>
            </w:tcBorders>
            <w:shd w:val="clear" w:color="auto" w:fill="auto"/>
            <w:noWrap/>
            <w:vAlign w:val="center"/>
            <w:hideMark/>
          </w:tcPr>
          <w:p w14:paraId="484CC8B0" w14:textId="0962F852" w:rsidR="00DA18F9" w:rsidRPr="002C3397" w:rsidRDefault="00DA18F9" w:rsidP="00DA18F9">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Fabp2</w:t>
            </w:r>
          </w:p>
        </w:tc>
        <w:tc>
          <w:tcPr>
            <w:tcW w:w="1169" w:type="pct"/>
            <w:tcBorders>
              <w:top w:val="nil"/>
              <w:left w:val="nil"/>
              <w:bottom w:val="nil"/>
              <w:right w:val="nil"/>
            </w:tcBorders>
            <w:shd w:val="clear" w:color="auto" w:fill="auto"/>
            <w:noWrap/>
            <w:vAlign w:val="center"/>
            <w:hideMark/>
          </w:tcPr>
          <w:p w14:paraId="44BBD93C" w14:textId="202F6742"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4.332 </w:t>
            </w:r>
          </w:p>
        </w:tc>
        <w:tc>
          <w:tcPr>
            <w:tcW w:w="500" w:type="pct"/>
            <w:tcBorders>
              <w:top w:val="nil"/>
              <w:left w:val="nil"/>
              <w:bottom w:val="nil"/>
              <w:right w:val="nil"/>
            </w:tcBorders>
            <w:shd w:val="clear" w:color="auto" w:fill="auto"/>
            <w:noWrap/>
            <w:vAlign w:val="center"/>
            <w:hideMark/>
          </w:tcPr>
          <w:p w14:paraId="7589AFB4" w14:textId="6B365FD8"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0.023 </w:t>
            </w:r>
          </w:p>
        </w:tc>
        <w:tc>
          <w:tcPr>
            <w:tcW w:w="500" w:type="pct"/>
            <w:gridSpan w:val="2"/>
            <w:tcBorders>
              <w:top w:val="nil"/>
              <w:left w:val="nil"/>
              <w:bottom w:val="nil"/>
              <w:right w:val="nil"/>
            </w:tcBorders>
            <w:shd w:val="clear" w:color="auto" w:fill="auto"/>
            <w:noWrap/>
            <w:vAlign w:val="center"/>
            <w:hideMark/>
          </w:tcPr>
          <w:p w14:paraId="3E269596" w14:textId="65E2BDD6"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0.047 </w:t>
            </w:r>
          </w:p>
        </w:tc>
        <w:tc>
          <w:tcPr>
            <w:tcW w:w="1000" w:type="pct"/>
            <w:tcBorders>
              <w:top w:val="nil"/>
              <w:left w:val="nil"/>
              <w:bottom w:val="nil"/>
              <w:right w:val="nil"/>
            </w:tcBorders>
            <w:shd w:val="clear" w:color="auto" w:fill="auto"/>
            <w:noWrap/>
            <w:vAlign w:val="bottom"/>
            <w:hideMark/>
          </w:tcPr>
          <w:p w14:paraId="69456572" w14:textId="57E18FFC" w:rsidR="00DA18F9" w:rsidRPr="002C3397" w:rsidRDefault="00DA18F9" w:rsidP="00DA18F9">
            <w:pPr>
              <w:widowControl/>
              <w:jc w:val="center"/>
              <w:rPr>
                <w:rFonts w:ascii="Arial" w:eastAsia="等线" w:hAnsi="Arial" w:cs="Arial"/>
                <w:color w:val="000000"/>
                <w:kern w:val="0"/>
                <w:szCs w:val="21"/>
              </w:rPr>
            </w:pPr>
            <w:r>
              <w:rPr>
                <w:rFonts w:ascii="Arial" w:eastAsia="等线" w:hAnsi="Arial" w:cs="Arial"/>
                <w:noProof/>
                <w:color w:val="000000"/>
                <w:kern w:val="0"/>
                <w:szCs w:val="21"/>
              </w:rPr>
              <w:t>[</w:t>
            </w:r>
            <w:r w:rsidR="00F05D34">
              <w:rPr>
                <w:rFonts w:ascii="Arial" w:eastAsia="等线" w:hAnsi="Arial" w:cs="Arial"/>
                <w:noProof/>
                <w:color w:val="000000"/>
                <w:kern w:val="0"/>
                <w:szCs w:val="21"/>
              </w:rPr>
              <w:t>266</w:t>
            </w:r>
            <w:r>
              <w:rPr>
                <w:rFonts w:ascii="Arial" w:eastAsia="等线" w:hAnsi="Arial" w:cs="Arial"/>
                <w:noProof/>
                <w:color w:val="000000"/>
                <w:kern w:val="0"/>
                <w:szCs w:val="21"/>
              </w:rPr>
              <w:t>]</w:t>
            </w:r>
          </w:p>
        </w:tc>
      </w:tr>
      <w:tr w:rsidR="00DA18F9" w:rsidRPr="002C3397" w14:paraId="2657F9BE"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2618BCCB" w14:textId="12130E2F" w:rsidR="00DA18F9" w:rsidRPr="002C3397" w:rsidRDefault="00DA18F9" w:rsidP="00DA18F9">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ENSMUSG00000029380</w:t>
            </w:r>
          </w:p>
        </w:tc>
        <w:tc>
          <w:tcPr>
            <w:tcW w:w="916" w:type="pct"/>
            <w:gridSpan w:val="2"/>
            <w:tcBorders>
              <w:top w:val="nil"/>
              <w:left w:val="nil"/>
              <w:bottom w:val="nil"/>
              <w:right w:val="nil"/>
            </w:tcBorders>
            <w:shd w:val="clear" w:color="auto" w:fill="auto"/>
            <w:noWrap/>
            <w:vAlign w:val="center"/>
            <w:hideMark/>
          </w:tcPr>
          <w:p w14:paraId="1E0F8347" w14:textId="167CF7FD" w:rsidR="00DA18F9" w:rsidRPr="002C3397" w:rsidRDefault="00DA18F9" w:rsidP="00DA18F9">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Cxcl1</w:t>
            </w:r>
          </w:p>
        </w:tc>
        <w:tc>
          <w:tcPr>
            <w:tcW w:w="1169" w:type="pct"/>
            <w:tcBorders>
              <w:top w:val="nil"/>
              <w:left w:val="nil"/>
              <w:bottom w:val="nil"/>
              <w:right w:val="nil"/>
            </w:tcBorders>
            <w:shd w:val="clear" w:color="auto" w:fill="auto"/>
            <w:noWrap/>
            <w:vAlign w:val="center"/>
            <w:hideMark/>
          </w:tcPr>
          <w:p w14:paraId="542BF1DD" w14:textId="35147879"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4.332 </w:t>
            </w:r>
          </w:p>
        </w:tc>
        <w:tc>
          <w:tcPr>
            <w:tcW w:w="500" w:type="pct"/>
            <w:tcBorders>
              <w:top w:val="nil"/>
              <w:left w:val="nil"/>
              <w:bottom w:val="nil"/>
              <w:right w:val="nil"/>
            </w:tcBorders>
            <w:shd w:val="clear" w:color="auto" w:fill="auto"/>
            <w:noWrap/>
            <w:vAlign w:val="center"/>
            <w:hideMark/>
          </w:tcPr>
          <w:p w14:paraId="34EA9888" w14:textId="5DBDE8C9"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0.023 </w:t>
            </w:r>
          </w:p>
        </w:tc>
        <w:tc>
          <w:tcPr>
            <w:tcW w:w="500" w:type="pct"/>
            <w:gridSpan w:val="2"/>
            <w:tcBorders>
              <w:top w:val="nil"/>
              <w:left w:val="nil"/>
              <w:bottom w:val="nil"/>
              <w:right w:val="nil"/>
            </w:tcBorders>
            <w:shd w:val="clear" w:color="auto" w:fill="auto"/>
            <w:noWrap/>
            <w:vAlign w:val="center"/>
            <w:hideMark/>
          </w:tcPr>
          <w:p w14:paraId="26EA6CCE" w14:textId="407E8F49"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0.047 </w:t>
            </w:r>
          </w:p>
        </w:tc>
        <w:tc>
          <w:tcPr>
            <w:tcW w:w="1000" w:type="pct"/>
            <w:tcBorders>
              <w:top w:val="nil"/>
              <w:left w:val="nil"/>
              <w:bottom w:val="nil"/>
              <w:right w:val="nil"/>
            </w:tcBorders>
            <w:shd w:val="clear" w:color="auto" w:fill="auto"/>
            <w:noWrap/>
            <w:vAlign w:val="bottom"/>
            <w:hideMark/>
          </w:tcPr>
          <w:p w14:paraId="0A5CD4AF" w14:textId="0724898C" w:rsidR="00DA18F9" w:rsidRPr="002C3397" w:rsidRDefault="00DA18F9" w:rsidP="00DA18F9">
            <w:pPr>
              <w:widowControl/>
              <w:jc w:val="center"/>
              <w:rPr>
                <w:rFonts w:ascii="Arial" w:eastAsia="等线" w:hAnsi="Arial" w:cs="Arial"/>
                <w:color w:val="000000"/>
                <w:kern w:val="0"/>
                <w:szCs w:val="21"/>
              </w:rPr>
            </w:pPr>
            <w:r>
              <w:rPr>
                <w:rFonts w:ascii="Arial" w:eastAsia="等线" w:hAnsi="Arial" w:cs="Arial"/>
                <w:noProof/>
                <w:color w:val="000000"/>
                <w:kern w:val="0"/>
                <w:szCs w:val="21"/>
              </w:rPr>
              <w:t>[</w:t>
            </w:r>
            <w:r w:rsidR="00F05D34">
              <w:rPr>
                <w:rFonts w:ascii="Arial" w:eastAsia="等线" w:hAnsi="Arial" w:cs="Arial"/>
                <w:noProof/>
                <w:color w:val="000000"/>
                <w:kern w:val="0"/>
                <w:szCs w:val="21"/>
              </w:rPr>
              <w:t>267</w:t>
            </w:r>
            <w:r>
              <w:rPr>
                <w:rFonts w:ascii="Arial" w:eastAsia="等线" w:hAnsi="Arial" w:cs="Arial"/>
                <w:noProof/>
                <w:color w:val="000000"/>
                <w:kern w:val="0"/>
                <w:szCs w:val="21"/>
              </w:rPr>
              <w:t>]</w:t>
            </w:r>
          </w:p>
        </w:tc>
      </w:tr>
      <w:tr w:rsidR="00DA18F9" w:rsidRPr="002C3397" w14:paraId="4124518D" w14:textId="77777777" w:rsidTr="003075F3">
        <w:trPr>
          <w:trHeight w:val="310"/>
        </w:trPr>
        <w:tc>
          <w:tcPr>
            <w:tcW w:w="915" w:type="pct"/>
            <w:gridSpan w:val="2"/>
            <w:tcBorders>
              <w:top w:val="nil"/>
              <w:left w:val="nil"/>
              <w:bottom w:val="nil"/>
              <w:right w:val="nil"/>
            </w:tcBorders>
            <w:shd w:val="clear" w:color="auto" w:fill="auto"/>
            <w:noWrap/>
            <w:vAlign w:val="center"/>
            <w:hideMark/>
          </w:tcPr>
          <w:p w14:paraId="1814C265" w14:textId="3D0896FA" w:rsidR="00DA18F9" w:rsidRPr="002C3397" w:rsidRDefault="00DA18F9" w:rsidP="00DA18F9">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ENSMUSG00000089678</w:t>
            </w:r>
          </w:p>
        </w:tc>
        <w:tc>
          <w:tcPr>
            <w:tcW w:w="916" w:type="pct"/>
            <w:gridSpan w:val="2"/>
            <w:tcBorders>
              <w:top w:val="nil"/>
              <w:left w:val="nil"/>
              <w:bottom w:val="nil"/>
              <w:right w:val="nil"/>
            </w:tcBorders>
            <w:shd w:val="clear" w:color="auto" w:fill="auto"/>
            <w:noWrap/>
            <w:vAlign w:val="center"/>
            <w:hideMark/>
          </w:tcPr>
          <w:p w14:paraId="6F726465" w14:textId="1EE610CC" w:rsidR="00DA18F9" w:rsidRPr="002C3397" w:rsidRDefault="00DA18F9" w:rsidP="00DA18F9">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Agxt2</w:t>
            </w:r>
          </w:p>
        </w:tc>
        <w:tc>
          <w:tcPr>
            <w:tcW w:w="1169" w:type="pct"/>
            <w:tcBorders>
              <w:top w:val="nil"/>
              <w:left w:val="nil"/>
              <w:bottom w:val="nil"/>
              <w:right w:val="nil"/>
            </w:tcBorders>
            <w:shd w:val="clear" w:color="auto" w:fill="auto"/>
            <w:noWrap/>
            <w:vAlign w:val="center"/>
            <w:hideMark/>
          </w:tcPr>
          <w:p w14:paraId="12827061" w14:textId="72BFAAD5"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4.331 </w:t>
            </w:r>
          </w:p>
        </w:tc>
        <w:tc>
          <w:tcPr>
            <w:tcW w:w="500" w:type="pct"/>
            <w:tcBorders>
              <w:top w:val="nil"/>
              <w:left w:val="nil"/>
              <w:bottom w:val="nil"/>
              <w:right w:val="nil"/>
            </w:tcBorders>
            <w:shd w:val="clear" w:color="auto" w:fill="auto"/>
            <w:noWrap/>
            <w:vAlign w:val="center"/>
            <w:hideMark/>
          </w:tcPr>
          <w:p w14:paraId="311DEC1E" w14:textId="14A57B42"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0.023 </w:t>
            </w:r>
          </w:p>
        </w:tc>
        <w:tc>
          <w:tcPr>
            <w:tcW w:w="500" w:type="pct"/>
            <w:gridSpan w:val="2"/>
            <w:tcBorders>
              <w:top w:val="nil"/>
              <w:left w:val="nil"/>
              <w:bottom w:val="nil"/>
              <w:right w:val="nil"/>
            </w:tcBorders>
            <w:shd w:val="clear" w:color="auto" w:fill="auto"/>
            <w:noWrap/>
            <w:vAlign w:val="center"/>
            <w:hideMark/>
          </w:tcPr>
          <w:p w14:paraId="63F7FB2F" w14:textId="74683713"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0.047 </w:t>
            </w:r>
          </w:p>
        </w:tc>
        <w:tc>
          <w:tcPr>
            <w:tcW w:w="1000" w:type="pct"/>
            <w:tcBorders>
              <w:top w:val="nil"/>
              <w:left w:val="nil"/>
              <w:bottom w:val="nil"/>
              <w:right w:val="nil"/>
            </w:tcBorders>
            <w:shd w:val="clear" w:color="auto" w:fill="auto"/>
            <w:noWrap/>
            <w:vAlign w:val="bottom"/>
            <w:hideMark/>
          </w:tcPr>
          <w:p w14:paraId="3B6C346F" w14:textId="77BF0972" w:rsidR="00DA18F9" w:rsidRPr="002C3397" w:rsidRDefault="00DA18F9" w:rsidP="00DA18F9">
            <w:pPr>
              <w:widowControl/>
              <w:jc w:val="center"/>
              <w:rPr>
                <w:rFonts w:ascii="Arial" w:eastAsia="等线" w:hAnsi="Arial" w:cs="Arial"/>
                <w:color w:val="000000"/>
                <w:kern w:val="0"/>
                <w:szCs w:val="21"/>
              </w:rPr>
            </w:pPr>
            <w:r>
              <w:rPr>
                <w:rFonts w:ascii="Arial" w:eastAsia="等线" w:hAnsi="Arial" w:cs="Arial"/>
                <w:noProof/>
                <w:color w:val="000000"/>
                <w:kern w:val="0"/>
                <w:szCs w:val="21"/>
              </w:rPr>
              <w:t>[</w:t>
            </w:r>
            <w:r w:rsidR="00F05D34">
              <w:rPr>
                <w:rFonts w:ascii="Arial" w:eastAsia="等线" w:hAnsi="Arial" w:cs="Arial"/>
                <w:noProof/>
                <w:color w:val="000000"/>
                <w:kern w:val="0"/>
                <w:szCs w:val="21"/>
              </w:rPr>
              <w:t>268</w:t>
            </w:r>
            <w:r>
              <w:rPr>
                <w:rFonts w:ascii="Arial" w:eastAsia="等线" w:hAnsi="Arial" w:cs="Arial"/>
                <w:noProof/>
                <w:color w:val="000000"/>
                <w:kern w:val="0"/>
                <w:szCs w:val="21"/>
              </w:rPr>
              <w:t>]</w:t>
            </w:r>
          </w:p>
        </w:tc>
      </w:tr>
      <w:tr w:rsidR="00DA18F9" w:rsidRPr="002C3397" w14:paraId="0DAB2EB8" w14:textId="77777777" w:rsidTr="003075F3">
        <w:trPr>
          <w:trHeight w:val="310"/>
        </w:trPr>
        <w:tc>
          <w:tcPr>
            <w:tcW w:w="915" w:type="pct"/>
            <w:gridSpan w:val="2"/>
            <w:tcBorders>
              <w:top w:val="nil"/>
              <w:left w:val="nil"/>
              <w:bottom w:val="single" w:sz="4" w:space="0" w:color="auto"/>
              <w:right w:val="nil"/>
            </w:tcBorders>
            <w:shd w:val="clear" w:color="auto" w:fill="auto"/>
            <w:noWrap/>
            <w:vAlign w:val="center"/>
            <w:hideMark/>
          </w:tcPr>
          <w:p w14:paraId="29597626" w14:textId="29E13CB2" w:rsidR="00DA18F9" w:rsidRPr="002C3397" w:rsidRDefault="00DA18F9" w:rsidP="00DA18F9">
            <w:pPr>
              <w:widowControl/>
              <w:jc w:val="left"/>
              <w:rPr>
                <w:rFonts w:ascii="Arial" w:eastAsia="等线" w:hAnsi="Arial" w:cs="Arial"/>
                <w:color w:val="000000"/>
                <w:kern w:val="0"/>
                <w:szCs w:val="21"/>
              </w:rPr>
            </w:pPr>
            <w:r w:rsidRPr="002C3397">
              <w:rPr>
                <w:rFonts w:ascii="Arial" w:eastAsia="等线" w:hAnsi="Arial" w:cs="Arial"/>
                <w:color w:val="000000"/>
                <w:szCs w:val="21"/>
              </w:rPr>
              <w:t>ENSMUSG00000039672</w:t>
            </w:r>
          </w:p>
        </w:tc>
        <w:tc>
          <w:tcPr>
            <w:tcW w:w="916" w:type="pct"/>
            <w:gridSpan w:val="2"/>
            <w:tcBorders>
              <w:top w:val="nil"/>
              <w:left w:val="nil"/>
              <w:bottom w:val="single" w:sz="4" w:space="0" w:color="auto"/>
              <w:right w:val="nil"/>
            </w:tcBorders>
            <w:shd w:val="clear" w:color="auto" w:fill="auto"/>
            <w:noWrap/>
            <w:vAlign w:val="center"/>
            <w:hideMark/>
          </w:tcPr>
          <w:p w14:paraId="6816672B" w14:textId="45980FA1" w:rsidR="00DA18F9" w:rsidRPr="002C3397" w:rsidRDefault="00DA18F9" w:rsidP="00DA18F9">
            <w:pPr>
              <w:widowControl/>
              <w:jc w:val="center"/>
              <w:rPr>
                <w:rFonts w:ascii="Arial" w:eastAsia="等线" w:hAnsi="Arial" w:cs="Arial"/>
                <w:i/>
                <w:iCs/>
                <w:color w:val="000000"/>
                <w:kern w:val="0"/>
                <w:szCs w:val="21"/>
              </w:rPr>
            </w:pPr>
            <w:r w:rsidRPr="002C3397">
              <w:rPr>
                <w:rFonts w:ascii="Arial" w:eastAsia="等线" w:hAnsi="Arial" w:cs="Arial"/>
                <w:i/>
                <w:iCs/>
                <w:color w:val="000000"/>
                <w:szCs w:val="21"/>
              </w:rPr>
              <w:t>Kcne2</w:t>
            </w:r>
          </w:p>
        </w:tc>
        <w:tc>
          <w:tcPr>
            <w:tcW w:w="1169" w:type="pct"/>
            <w:tcBorders>
              <w:top w:val="nil"/>
              <w:left w:val="nil"/>
              <w:bottom w:val="single" w:sz="4" w:space="0" w:color="auto"/>
              <w:right w:val="nil"/>
            </w:tcBorders>
            <w:shd w:val="clear" w:color="auto" w:fill="auto"/>
            <w:noWrap/>
            <w:vAlign w:val="center"/>
            <w:hideMark/>
          </w:tcPr>
          <w:p w14:paraId="3E80D4E2" w14:textId="0E76D18B"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-4.260 </w:t>
            </w:r>
          </w:p>
        </w:tc>
        <w:tc>
          <w:tcPr>
            <w:tcW w:w="500" w:type="pct"/>
            <w:tcBorders>
              <w:top w:val="nil"/>
              <w:left w:val="nil"/>
              <w:bottom w:val="single" w:sz="4" w:space="0" w:color="auto"/>
              <w:right w:val="nil"/>
            </w:tcBorders>
            <w:shd w:val="clear" w:color="auto" w:fill="auto"/>
            <w:noWrap/>
            <w:vAlign w:val="center"/>
            <w:hideMark/>
          </w:tcPr>
          <w:p w14:paraId="6F73AA08" w14:textId="72F5C6A5"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0.023 </w:t>
            </w:r>
          </w:p>
        </w:tc>
        <w:tc>
          <w:tcPr>
            <w:tcW w:w="500" w:type="pct"/>
            <w:gridSpan w:val="2"/>
            <w:tcBorders>
              <w:top w:val="nil"/>
              <w:left w:val="nil"/>
              <w:bottom w:val="single" w:sz="4" w:space="0" w:color="auto"/>
              <w:right w:val="nil"/>
            </w:tcBorders>
            <w:shd w:val="clear" w:color="auto" w:fill="auto"/>
            <w:noWrap/>
            <w:vAlign w:val="center"/>
            <w:hideMark/>
          </w:tcPr>
          <w:p w14:paraId="434EDD22" w14:textId="7E368B77" w:rsidR="00DA18F9" w:rsidRPr="002C3397" w:rsidRDefault="00DA18F9" w:rsidP="00DA18F9">
            <w:pPr>
              <w:widowControl/>
              <w:jc w:val="center"/>
              <w:rPr>
                <w:rFonts w:ascii="Arial" w:eastAsia="等线" w:hAnsi="Arial" w:cs="Arial"/>
                <w:color w:val="000000"/>
                <w:kern w:val="0"/>
                <w:szCs w:val="21"/>
              </w:rPr>
            </w:pPr>
            <w:r w:rsidRPr="002C3397">
              <w:rPr>
                <w:rFonts w:ascii="Arial" w:eastAsia="等线" w:hAnsi="Arial" w:cs="Arial"/>
                <w:color w:val="000000"/>
                <w:szCs w:val="21"/>
              </w:rPr>
              <w:t xml:space="preserve">0.047 </w:t>
            </w:r>
          </w:p>
        </w:tc>
        <w:tc>
          <w:tcPr>
            <w:tcW w:w="1000" w:type="pct"/>
            <w:tcBorders>
              <w:top w:val="nil"/>
              <w:left w:val="nil"/>
              <w:bottom w:val="single" w:sz="4" w:space="0" w:color="auto"/>
              <w:right w:val="nil"/>
            </w:tcBorders>
            <w:shd w:val="clear" w:color="auto" w:fill="auto"/>
            <w:noWrap/>
            <w:vAlign w:val="bottom"/>
            <w:hideMark/>
          </w:tcPr>
          <w:p w14:paraId="43862E4E" w14:textId="536C0EBF" w:rsidR="00DA18F9" w:rsidRPr="002C3397" w:rsidRDefault="00DA18F9" w:rsidP="00DA18F9">
            <w:pPr>
              <w:widowControl/>
              <w:jc w:val="center"/>
              <w:rPr>
                <w:rFonts w:ascii="Arial" w:eastAsia="等线" w:hAnsi="Arial" w:cs="Arial"/>
                <w:color w:val="000000"/>
                <w:kern w:val="0"/>
                <w:szCs w:val="21"/>
              </w:rPr>
            </w:pPr>
            <w:r>
              <w:rPr>
                <w:rFonts w:ascii="Arial" w:eastAsia="等线" w:hAnsi="Arial" w:cs="Arial"/>
                <w:noProof/>
                <w:color w:val="000000"/>
                <w:kern w:val="0"/>
                <w:szCs w:val="21"/>
              </w:rPr>
              <w:t>[</w:t>
            </w:r>
            <w:r w:rsidR="00F05D34">
              <w:rPr>
                <w:rFonts w:ascii="Arial" w:eastAsia="等线" w:hAnsi="Arial" w:cs="Arial"/>
                <w:noProof/>
                <w:color w:val="000000"/>
                <w:kern w:val="0"/>
                <w:szCs w:val="21"/>
              </w:rPr>
              <w:t>269</w:t>
            </w:r>
            <w:r>
              <w:rPr>
                <w:rFonts w:ascii="Arial" w:eastAsia="等线" w:hAnsi="Arial" w:cs="Arial"/>
                <w:noProof/>
                <w:color w:val="000000"/>
                <w:kern w:val="0"/>
                <w:szCs w:val="21"/>
              </w:rPr>
              <w:t>]</w:t>
            </w:r>
            <w:r w:rsidRPr="002C3397">
              <w:rPr>
                <w:rFonts w:ascii="Arial" w:eastAsia="等线" w:hAnsi="Arial" w:cs="Arial"/>
                <w:color w:val="000000"/>
                <w:kern w:val="0"/>
                <w:szCs w:val="21"/>
              </w:rPr>
              <w:t xml:space="preserve">　</w:t>
            </w:r>
          </w:p>
        </w:tc>
      </w:tr>
    </w:tbl>
    <w:p w14:paraId="36AA063C" w14:textId="77777777" w:rsidR="002C3397" w:rsidRPr="003607AB" w:rsidRDefault="002C3397" w:rsidP="002C3397">
      <w:bookmarkStart w:id="6" w:name="_Hlk49327734"/>
      <w:r>
        <w:rPr>
          <w:rFonts w:ascii="Arial" w:eastAsia="等线" w:hAnsi="Arial" w:cs="Arial" w:hint="eastAsia"/>
          <w:color w:val="000000"/>
          <w:kern w:val="0"/>
          <w:sz w:val="24"/>
          <w:szCs w:val="24"/>
        </w:rPr>
        <w:t>#</w:t>
      </w:r>
      <w:r>
        <w:rPr>
          <w:rFonts w:ascii="Arial" w:eastAsia="等线" w:hAnsi="Arial" w:cs="Arial"/>
          <w:color w:val="000000"/>
          <w:kern w:val="0"/>
          <w:sz w:val="24"/>
          <w:szCs w:val="24"/>
        </w:rPr>
        <w:t xml:space="preserve"> 0.000 means &lt;0.0001.</w:t>
      </w:r>
    </w:p>
    <w:bookmarkEnd w:id="6"/>
    <w:p w14:paraId="33BDF3E1" w14:textId="77777777" w:rsidR="002C3397" w:rsidRPr="003607AB" w:rsidRDefault="002C3397" w:rsidP="002C3397"/>
    <w:p w14:paraId="4F936593" w14:textId="6DEBA541" w:rsidR="007839BE" w:rsidRDefault="002C3397">
      <w:r w:rsidRPr="002A057F">
        <w:rPr>
          <w:rFonts w:ascii="Arial" w:hAnsi="Arial" w:cs="Arial"/>
          <w:b/>
          <w:bCs/>
          <w:sz w:val="24"/>
          <w:szCs w:val="24"/>
        </w:rPr>
        <w:t>REFERENCES</w:t>
      </w:r>
    </w:p>
    <w:p w14:paraId="25518865"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lang w:val="es-ES"/>
        </w:rPr>
        <w:t>1.</w:t>
      </w:r>
      <w:r w:rsidRPr="00C10BBC">
        <w:rPr>
          <w:rFonts w:ascii="Calibri" w:eastAsia="Times New Roman" w:hAnsi="Calibri" w:cstheme="minorHAnsi"/>
          <w:spacing w:val="-2"/>
          <w:sz w:val="20"/>
          <w:szCs w:val="20"/>
          <w:lang w:val="es-ES"/>
        </w:rPr>
        <w:tab/>
        <w:t xml:space="preserve">Xiong Y, Yepuri G, Forbiteh M, Yu Y, Montani JP, Yang Z, Ming XF. </w:t>
      </w:r>
      <w:r w:rsidRPr="00C10BBC">
        <w:rPr>
          <w:rFonts w:ascii="Calibri" w:eastAsia="Times New Roman" w:hAnsi="Calibri" w:cstheme="minorHAnsi"/>
          <w:spacing w:val="-2"/>
          <w:sz w:val="20"/>
          <w:szCs w:val="20"/>
        </w:rPr>
        <w:t xml:space="preserve">ARG2 impairs endothelial autophagy through regulation of MTOR and PRKAA/AMPK signaling in advanced atherosclerosis. Autophagy. 2014; 10:2223-38. </w:t>
      </w:r>
    </w:p>
    <w:p w14:paraId="43EA468F"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7" w:tgtFrame="_blank" w:history="1">
        <w:r w:rsidRPr="00C10BBC">
          <w:rPr>
            <w:rFonts w:ascii="Calibri" w:eastAsia="Times New Roman" w:hAnsi="Calibri" w:cstheme="minorHAnsi"/>
            <w:color w:val="0000FF"/>
            <w:spacing w:val="-2"/>
            <w:sz w:val="20"/>
            <w:szCs w:val="20"/>
            <w:u w:val="single"/>
          </w:rPr>
          <w:t>https://doi.org/10.4161/15548627.2014.981789</w:t>
        </w:r>
      </w:hyperlink>
      <w:r w:rsidRPr="00C10BBC">
        <w:rPr>
          <w:rFonts w:ascii="Calibri" w:eastAsia="Times New Roman" w:hAnsi="Calibri" w:cstheme="minorHAnsi"/>
          <w:spacing w:val="-2"/>
          <w:sz w:val="20"/>
          <w:szCs w:val="20"/>
        </w:rPr>
        <w:t xml:space="preserve"> </w:t>
      </w:r>
    </w:p>
    <w:p w14:paraId="0DA1BAD0"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8"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25484082</w:t>
        </w:r>
      </w:hyperlink>
      <w:r w:rsidRPr="00C10BBC">
        <w:rPr>
          <w:rFonts w:ascii="Calibri" w:eastAsia="Times New Roman" w:hAnsi="Calibri" w:cstheme="minorHAnsi"/>
          <w:spacing w:val="-2"/>
          <w:sz w:val="20"/>
          <w:szCs w:val="20"/>
        </w:rPr>
        <w:t xml:space="preserve"> </w:t>
      </w:r>
    </w:p>
    <w:p w14:paraId="10886F65"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2.</w:t>
      </w:r>
      <w:r w:rsidRPr="00C10BBC">
        <w:rPr>
          <w:rFonts w:ascii="Calibri" w:eastAsia="Times New Roman" w:hAnsi="Calibri" w:cstheme="minorHAnsi"/>
          <w:spacing w:val="-2"/>
          <w:sz w:val="20"/>
          <w:szCs w:val="20"/>
        </w:rPr>
        <w:tab/>
      </w:r>
      <w:bookmarkStart w:id="7" w:name="b2"/>
      <w:bookmarkStart w:id="8" w:name="idm1007544640"/>
      <w:bookmarkEnd w:id="7"/>
      <w:bookmarkEnd w:id="8"/>
      <w:r w:rsidRPr="00C10BBC">
        <w:rPr>
          <w:rFonts w:ascii="Calibri" w:eastAsia="Times New Roman" w:hAnsi="Calibri" w:cstheme="minorHAnsi"/>
          <w:spacing w:val="-2"/>
          <w:sz w:val="20"/>
          <w:szCs w:val="20"/>
        </w:rPr>
        <w:t xml:space="preserve">Pi S, Mao L, Chen J, Shi H, Liu Y, Guo X, Li Y, Zhou L, He H, Yu C, Liu J, Dang Y, Xia Y, et al. The P2RY12 receptor promotes VSMC-derived foam cell formation by inhibiting autophagy in advanced atherosclerosis. Autophagy. 2020. [Epub ahead of print]. </w:t>
      </w:r>
    </w:p>
    <w:p w14:paraId="5D262126"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9" w:history="1">
        <w:r w:rsidRPr="00C10BBC">
          <w:rPr>
            <w:rStyle w:val="Hyperlink"/>
            <w:rFonts w:ascii="Calibri" w:eastAsia="Times New Roman" w:hAnsi="Calibri" w:cstheme="minorHAnsi"/>
            <w:spacing w:val="-2"/>
            <w:sz w:val="20"/>
            <w:szCs w:val="20"/>
          </w:rPr>
          <w:t>https://doi.org/10.1080/15548627.2020.1741202</w:t>
        </w:r>
      </w:hyperlink>
      <w:r w:rsidRPr="00C10BBC">
        <w:rPr>
          <w:rFonts w:ascii="Calibri" w:eastAsia="Times New Roman" w:hAnsi="Calibri" w:cstheme="minorHAnsi"/>
          <w:spacing w:val="-2"/>
          <w:sz w:val="20"/>
          <w:szCs w:val="20"/>
        </w:rPr>
        <w:t xml:space="preserve"> </w:t>
      </w:r>
    </w:p>
    <w:p w14:paraId="1AD29622"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10"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32160082</w:t>
        </w:r>
      </w:hyperlink>
    </w:p>
    <w:p w14:paraId="1BD65C56"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3.</w:t>
      </w:r>
      <w:r w:rsidRPr="00C10BBC">
        <w:rPr>
          <w:rFonts w:ascii="Calibri" w:eastAsia="Times New Roman" w:hAnsi="Calibri" w:cstheme="minorHAnsi"/>
          <w:spacing w:val="-2"/>
          <w:sz w:val="20"/>
          <w:szCs w:val="20"/>
        </w:rPr>
        <w:tab/>
      </w:r>
      <w:bookmarkStart w:id="9" w:name="b3"/>
      <w:bookmarkStart w:id="10" w:name="idm1157018864"/>
      <w:bookmarkEnd w:id="9"/>
      <w:bookmarkEnd w:id="10"/>
      <w:r w:rsidRPr="00C10BBC">
        <w:rPr>
          <w:rFonts w:ascii="Calibri" w:eastAsia="Times New Roman" w:hAnsi="Calibri" w:cstheme="minorHAnsi"/>
          <w:spacing w:val="-2"/>
          <w:sz w:val="20"/>
          <w:szCs w:val="20"/>
        </w:rPr>
        <w:t xml:space="preserve">Krane M, Dummler S, Dressen M, Hauner H, Hoffmann M, Haller D, Heller K, Wildhirt S, Voss B, Grammer J, Lahm H, Lange R, Bauernschmitt R. Identification of an up-regulated anti-apoptotic network in the internal thoracic artery. Int J Cardiol. 2011; 149:221-26. </w:t>
      </w:r>
    </w:p>
    <w:p w14:paraId="09A11BBF"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11" w:tgtFrame="_blank" w:history="1">
        <w:r w:rsidRPr="00C10BBC">
          <w:rPr>
            <w:rFonts w:ascii="Calibri" w:eastAsia="Times New Roman" w:hAnsi="Calibri" w:cstheme="minorHAnsi"/>
            <w:color w:val="0000FF"/>
            <w:spacing w:val="-2"/>
            <w:sz w:val="20"/>
            <w:szCs w:val="20"/>
            <w:u w:val="single"/>
          </w:rPr>
          <w:t>https://doi.org/10.1016/j.ijcard.2010.02.003</w:t>
        </w:r>
      </w:hyperlink>
      <w:r w:rsidRPr="00C10BBC">
        <w:rPr>
          <w:rFonts w:ascii="Calibri" w:eastAsia="Times New Roman" w:hAnsi="Calibri" w:cstheme="minorHAnsi"/>
          <w:spacing w:val="-2"/>
          <w:sz w:val="20"/>
          <w:szCs w:val="20"/>
        </w:rPr>
        <w:t xml:space="preserve"> </w:t>
      </w:r>
    </w:p>
    <w:p w14:paraId="04B23353"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12"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20207035</w:t>
        </w:r>
      </w:hyperlink>
      <w:r w:rsidRPr="00C10BBC">
        <w:rPr>
          <w:rFonts w:ascii="Calibri" w:eastAsia="Times New Roman" w:hAnsi="Calibri" w:cstheme="minorHAnsi"/>
          <w:spacing w:val="-2"/>
          <w:sz w:val="20"/>
          <w:szCs w:val="20"/>
        </w:rPr>
        <w:t xml:space="preserve"> </w:t>
      </w:r>
    </w:p>
    <w:p w14:paraId="4367AED3"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4.</w:t>
      </w:r>
      <w:r w:rsidRPr="00C10BBC">
        <w:rPr>
          <w:rFonts w:ascii="Calibri" w:eastAsia="Times New Roman" w:hAnsi="Calibri" w:cstheme="minorHAnsi"/>
          <w:spacing w:val="-2"/>
          <w:sz w:val="20"/>
          <w:szCs w:val="20"/>
        </w:rPr>
        <w:tab/>
      </w:r>
      <w:bookmarkStart w:id="11" w:name="b4"/>
      <w:bookmarkStart w:id="12" w:name="idm999405408"/>
      <w:bookmarkEnd w:id="11"/>
      <w:bookmarkEnd w:id="12"/>
      <w:r w:rsidRPr="00C10BBC">
        <w:rPr>
          <w:rFonts w:ascii="Calibri" w:eastAsia="Times New Roman" w:hAnsi="Calibri" w:cstheme="minorHAnsi"/>
          <w:spacing w:val="-2"/>
          <w:sz w:val="20"/>
          <w:szCs w:val="20"/>
        </w:rPr>
        <w:t xml:space="preserve">Okazaki S, Morimoto T, Kamatani Y, Kamimura T, Kobayashi H, Harada K, Tomita T, Higashiyama A, Takahashi JC, Nakagawara J, Koga M, Toyoda K, Washida K, et al. Moyamoya Disease Susceptibility Variant RNF213 p.R4810K Increases the Risk of Ischemic Stroke Attributable to Large-Artery Atherosclerosis. Circulation. 2019; 139:295-98. </w:t>
      </w:r>
    </w:p>
    <w:p w14:paraId="7BAAACEA"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13" w:tgtFrame="_blank" w:history="1">
        <w:r w:rsidRPr="00C10BBC">
          <w:rPr>
            <w:rFonts w:ascii="Calibri" w:eastAsia="Times New Roman" w:hAnsi="Calibri" w:cstheme="minorHAnsi"/>
            <w:color w:val="0000FF"/>
            <w:spacing w:val="-2"/>
            <w:sz w:val="20"/>
            <w:szCs w:val="20"/>
            <w:u w:val="single"/>
          </w:rPr>
          <w:t>https://doi.org/10.1161/CIRCULATIONAHA.118.038439</w:t>
        </w:r>
      </w:hyperlink>
      <w:r w:rsidRPr="00C10BBC">
        <w:rPr>
          <w:rFonts w:ascii="Calibri" w:eastAsia="Times New Roman" w:hAnsi="Calibri" w:cstheme="minorHAnsi"/>
          <w:spacing w:val="-2"/>
          <w:sz w:val="20"/>
          <w:szCs w:val="20"/>
        </w:rPr>
        <w:t xml:space="preserve"> </w:t>
      </w:r>
    </w:p>
    <w:p w14:paraId="5DB88C29"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14"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30615506</w:t>
        </w:r>
      </w:hyperlink>
      <w:r w:rsidRPr="00C10BBC">
        <w:rPr>
          <w:rFonts w:ascii="Calibri" w:eastAsia="Times New Roman" w:hAnsi="Calibri" w:cstheme="minorHAnsi"/>
          <w:spacing w:val="-2"/>
          <w:sz w:val="20"/>
          <w:szCs w:val="20"/>
        </w:rPr>
        <w:t xml:space="preserve"> </w:t>
      </w:r>
    </w:p>
    <w:p w14:paraId="0BE5E42E"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5.</w:t>
      </w:r>
      <w:r w:rsidRPr="00C10BBC">
        <w:rPr>
          <w:rFonts w:ascii="Calibri" w:eastAsia="Times New Roman" w:hAnsi="Calibri" w:cstheme="minorHAnsi"/>
          <w:spacing w:val="-2"/>
          <w:sz w:val="20"/>
          <w:szCs w:val="20"/>
        </w:rPr>
        <w:tab/>
      </w:r>
      <w:bookmarkStart w:id="13" w:name="b5"/>
      <w:bookmarkStart w:id="14" w:name="idm1173204192"/>
      <w:bookmarkEnd w:id="13"/>
      <w:bookmarkEnd w:id="14"/>
      <w:r w:rsidRPr="00C10BBC">
        <w:rPr>
          <w:rFonts w:ascii="Calibri" w:eastAsia="Times New Roman" w:hAnsi="Calibri" w:cstheme="minorHAnsi"/>
          <w:spacing w:val="-2"/>
          <w:sz w:val="20"/>
          <w:szCs w:val="20"/>
        </w:rPr>
        <w:t xml:space="preserve">Jeong SJ, Kim S, Park JG, Jung IH, Lee MN, Jeon S, Kweon HY, Yu DY, Lee SH, Jang Y, Kang SW, Han KH, Miller YI, et al. Prdx1 (peroxiredoxin 1) deficiency reduces cholesterol efflux via impaired macrophage lipophagic flux. Autophagy. 2018; 14:120-33. </w:t>
      </w:r>
    </w:p>
    <w:p w14:paraId="0D6F5FAD"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15" w:tgtFrame="_blank" w:history="1">
        <w:r w:rsidRPr="00C10BBC">
          <w:rPr>
            <w:rFonts w:ascii="Calibri" w:eastAsia="Times New Roman" w:hAnsi="Calibri" w:cstheme="minorHAnsi"/>
            <w:color w:val="0000FF"/>
            <w:spacing w:val="-2"/>
            <w:sz w:val="20"/>
            <w:szCs w:val="20"/>
            <w:u w:val="single"/>
          </w:rPr>
          <w:t>https://doi.org/10.1080/15548627.2017.1327942</w:t>
        </w:r>
      </w:hyperlink>
      <w:r w:rsidRPr="00C10BBC">
        <w:rPr>
          <w:rFonts w:ascii="Calibri" w:eastAsia="Times New Roman" w:hAnsi="Calibri" w:cstheme="minorHAnsi"/>
          <w:spacing w:val="-2"/>
          <w:sz w:val="20"/>
          <w:szCs w:val="20"/>
        </w:rPr>
        <w:t xml:space="preserve"> </w:t>
      </w:r>
    </w:p>
    <w:p w14:paraId="04B634B6"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16"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28605287</w:t>
        </w:r>
      </w:hyperlink>
      <w:r w:rsidRPr="00C10BBC">
        <w:rPr>
          <w:rFonts w:ascii="Calibri" w:eastAsia="Times New Roman" w:hAnsi="Calibri" w:cstheme="minorHAnsi"/>
          <w:spacing w:val="-2"/>
          <w:sz w:val="20"/>
          <w:szCs w:val="20"/>
        </w:rPr>
        <w:t xml:space="preserve"> </w:t>
      </w:r>
    </w:p>
    <w:p w14:paraId="5D10DAD2"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6.</w:t>
      </w:r>
      <w:r w:rsidRPr="00C10BBC">
        <w:rPr>
          <w:rFonts w:ascii="Calibri" w:eastAsia="Times New Roman" w:hAnsi="Calibri" w:cstheme="minorHAnsi"/>
          <w:spacing w:val="-2"/>
          <w:sz w:val="20"/>
          <w:szCs w:val="20"/>
        </w:rPr>
        <w:tab/>
      </w:r>
      <w:bookmarkStart w:id="15" w:name="b6"/>
      <w:bookmarkStart w:id="16" w:name="idm1142441008"/>
      <w:bookmarkEnd w:id="15"/>
      <w:bookmarkEnd w:id="16"/>
      <w:r w:rsidRPr="00C10BBC">
        <w:rPr>
          <w:rFonts w:ascii="Calibri" w:eastAsia="Times New Roman" w:hAnsi="Calibri" w:cstheme="minorHAnsi"/>
          <w:spacing w:val="-2"/>
          <w:sz w:val="20"/>
          <w:szCs w:val="20"/>
        </w:rPr>
        <w:t xml:space="preserve">Liu Y, Carmona-Rivera C, Moore E, Seto NL, Knight JS, Pryor M, Yang ZH, Hemmers S, Remaley AT, Mowen KA, Kaplan MJ. Myeloid-Specific Deletion of Peptidylarginine Deiminase 4 Mitigates Atherosclerosis. Front Immunol. 2018; 9:1680. </w:t>
      </w:r>
    </w:p>
    <w:p w14:paraId="6AA786AC"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17" w:tgtFrame="_blank" w:history="1">
        <w:r w:rsidRPr="00C10BBC">
          <w:rPr>
            <w:rFonts w:ascii="Calibri" w:eastAsia="Times New Roman" w:hAnsi="Calibri" w:cstheme="minorHAnsi"/>
            <w:color w:val="0000FF"/>
            <w:spacing w:val="-2"/>
            <w:sz w:val="20"/>
            <w:szCs w:val="20"/>
            <w:u w:val="single"/>
          </w:rPr>
          <w:t>https://doi.org/10.3389/fimmu.2018.01680</w:t>
        </w:r>
      </w:hyperlink>
      <w:r w:rsidRPr="00C10BBC">
        <w:rPr>
          <w:rFonts w:ascii="Calibri" w:eastAsia="Times New Roman" w:hAnsi="Calibri" w:cstheme="minorHAnsi"/>
          <w:spacing w:val="-2"/>
          <w:sz w:val="20"/>
          <w:szCs w:val="20"/>
        </w:rPr>
        <w:t xml:space="preserve"> </w:t>
      </w:r>
    </w:p>
    <w:p w14:paraId="37E67344"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18"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30140264</w:t>
        </w:r>
      </w:hyperlink>
      <w:r w:rsidRPr="00C10BBC">
        <w:rPr>
          <w:rFonts w:ascii="Calibri" w:eastAsia="Times New Roman" w:hAnsi="Calibri" w:cstheme="minorHAnsi"/>
          <w:spacing w:val="-2"/>
          <w:sz w:val="20"/>
          <w:szCs w:val="20"/>
        </w:rPr>
        <w:t xml:space="preserve"> </w:t>
      </w:r>
    </w:p>
    <w:p w14:paraId="1EE0B812"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7.</w:t>
      </w:r>
      <w:r w:rsidRPr="00C10BBC">
        <w:rPr>
          <w:rFonts w:ascii="Calibri" w:eastAsia="Times New Roman" w:hAnsi="Calibri" w:cstheme="minorHAnsi"/>
          <w:spacing w:val="-2"/>
          <w:sz w:val="20"/>
          <w:szCs w:val="20"/>
        </w:rPr>
        <w:tab/>
      </w:r>
      <w:bookmarkStart w:id="17" w:name="b7"/>
      <w:bookmarkStart w:id="18" w:name="idm1001500704"/>
      <w:bookmarkEnd w:id="17"/>
      <w:bookmarkEnd w:id="18"/>
      <w:r w:rsidRPr="00C10BBC">
        <w:rPr>
          <w:rFonts w:ascii="Calibri" w:eastAsia="Times New Roman" w:hAnsi="Calibri" w:cstheme="minorHAnsi"/>
          <w:spacing w:val="-2"/>
          <w:sz w:val="20"/>
          <w:szCs w:val="20"/>
        </w:rPr>
        <w:t xml:space="preserve">Liu Z, Han Y, Li L, Lu H, Meng G, Li X, Shirhan M, Peh MT, Xie L, Zhou S, Wang X, Chen Q, Dai W, et al. The hydrogen sulfide donor, GYY4137, exhibits anti-atherosclerotic activity in high fat fed apolipoprotein E(-/-) mice. Br J Pharmacol. 2013; 169:1795-809. </w:t>
      </w:r>
    </w:p>
    <w:p w14:paraId="2E023F24"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19" w:tgtFrame="_blank" w:history="1">
        <w:r w:rsidRPr="00C10BBC">
          <w:rPr>
            <w:rFonts w:ascii="Calibri" w:eastAsia="Times New Roman" w:hAnsi="Calibri" w:cstheme="minorHAnsi"/>
            <w:color w:val="0000FF"/>
            <w:spacing w:val="-2"/>
            <w:sz w:val="20"/>
            <w:szCs w:val="20"/>
            <w:u w:val="single"/>
          </w:rPr>
          <w:t>https://doi.org/10.1111/bph.12246</w:t>
        </w:r>
      </w:hyperlink>
      <w:r w:rsidRPr="00C10BBC">
        <w:rPr>
          <w:rFonts w:ascii="Calibri" w:eastAsia="Times New Roman" w:hAnsi="Calibri" w:cstheme="minorHAnsi"/>
          <w:spacing w:val="-2"/>
          <w:sz w:val="20"/>
          <w:szCs w:val="20"/>
        </w:rPr>
        <w:t xml:space="preserve"> </w:t>
      </w:r>
    </w:p>
    <w:p w14:paraId="273D0F30"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20"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23713790</w:t>
        </w:r>
      </w:hyperlink>
      <w:r w:rsidRPr="00C10BBC">
        <w:rPr>
          <w:rFonts w:ascii="Calibri" w:eastAsia="Times New Roman" w:hAnsi="Calibri" w:cstheme="minorHAnsi"/>
          <w:spacing w:val="-2"/>
          <w:sz w:val="20"/>
          <w:szCs w:val="20"/>
        </w:rPr>
        <w:t xml:space="preserve"> </w:t>
      </w:r>
    </w:p>
    <w:p w14:paraId="6C7C665F"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8.</w:t>
      </w:r>
      <w:r w:rsidRPr="00C10BBC">
        <w:rPr>
          <w:rFonts w:ascii="Calibri" w:eastAsia="Times New Roman" w:hAnsi="Calibri" w:cstheme="minorHAnsi"/>
          <w:spacing w:val="-2"/>
          <w:sz w:val="20"/>
          <w:szCs w:val="20"/>
        </w:rPr>
        <w:tab/>
      </w:r>
      <w:bookmarkStart w:id="19" w:name="b8"/>
      <w:bookmarkStart w:id="20" w:name="idm1159060800"/>
      <w:bookmarkEnd w:id="19"/>
      <w:bookmarkEnd w:id="20"/>
      <w:r w:rsidRPr="00C10BBC">
        <w:rPr>
          <w:rFonts w:ascii="Calibri" w:eastAsia="Times New Roman" w:hAnsi="Calibri" w:cstheme="minorHAnsi"/>
          <w:spacing w:val="-2"/>
          <w:sz w:val="20"/>
          <w:szCs w:val="20"/>
        </w:rPr>
        <w:t xml:space="preserve">Wang W, Zhang ZZ, Wu Y, Wang RQ, Chen JW, Chen J, Zhang Y, Chen YJ, Geng M, Xu ZD, Dai M, Li JH, Pan LL. Corrigendum: (-)-Epigallocatechin-3-Gallate Ameliorates Atherosclerosis and Modulates Hepatic Lipid Metabolic Gene Expression in Apolipoprotein E Knockout Mice: Involvement of TTC39B. Front Pharmacol. 2018; 9:459. </w:t>
      </w:r>
    </w:p>
    <w:p w14:paraId="7B7044B7"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21" w:tgtFrame="_blank" w:history="1">
        <w:r w:rsidRPr="00C10BBC">
          <w:rPr>
            <w:rFonts w:ascii="Calibri" w:eastAsia="Times New Roman" w:hAnsi="Calibri" w:cstheme="minorHAnsi"/>
            <w:color w:val="0000FF"/>
            <w:spacing w:val="-2"/>
            <w:sz w:val="20"/>
            <w:szCs w:val="20"/>
            <w:u w:val="single"/>
          </w:rPr>
          <w:t>https://doi.org/10.3389/fphar.2018.00459</w:t>
        </w:r>
      </w:hyperlink>
      <w:r w:rsidRPr="00C10BBC">
        <w:rPr>
          <w:rFonts w:ascii="Calibri" w:eastAsia="Times New Roman" w:hAnsi="Calibri" w:cstheme="minorHAnsi"/>
          <w:spacing w:val="-2"/>
          <w:sz w:val="20"/>
          <w:szCs w:val="20"/>
        </w:rPr>
        <w:t xml:space="preserve"> </w:t>
      </w:r>
    </w:p>
    <w:p w14:paraId="1D092A93"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22"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29745376</w:t>
        </w:r>
      </w:hyperlink>
    </w:p>
    <w:p w14:paraId="03B31A41" w14:textId="77777777" w:rsidR="00615745" w:rsidRPr="00C10BBC" w:rsidRDefault="00615745" w:rsidP="00615745">
      <w:pPr>
        <w:ind w:left="529" w:hangingChars="270" w:hanging="529"/>
        <w:rPr>
          <w:rFonts w:ascii="Calibri" w:eastAsia="Times New Roman" w:hAnsi="Calibri" w:cstheme="minorHAnsi"/>
          <w:spacing w:val="-2"/>
          <w:sz w:val="20"/>
          <w:szCs w:val="20"/>
          <w:u w:val="single"/>
        </w:rPr>
      </w:pPr>
      <w:r w:rsidRPr="00C10BBC">
        <w:rPr>
          <w:rFonts w:ascii="Calibri" w:eastAsia="Times New Roman" w:hAnsi="Calibri" w:cstheme="minorHAnsi"/>
          <w:spacing w:val="-2"/>
          <w:sz w:val="20"/>
          <w:szCs w:val="20"/>
        </w:rPr>
        <w:t>9.</w:t>
      </w:r>
      <w:r w:rsidRPr="00C10BBC">
        <w:rPr>
          <w:rFonts w:ascii="Calibri" w:eastAsia="Times New Roman" w:hAnsi="Calibri" w:cstheme="minorHAnsi"/>
          <w:spacing w:val="-2"/>
          <w:sz w:val="20"/>
          <w:szCs w:val="20"/>
        </w:rPr>
        <w:tab/>
      </w:r>
      <w:bookmarkStart w:id="21" w:name="b9"/>
      <w:bookmarkStart w:id="22" w:name="idm1022893152"/>
      <w:bookmarkEnd w:id="21"/>
      <w:bookmarkEnd w:id="22"/>
      <w:r w:rsidRPr="00C10BBC">
        <w:rPr>
          <w:rFonts w:ascii="Calibri" w:eastAsia="Times New Roman" w:hAnsi="Calibri" w:cstheme="minorHAnsi"/>
          <w:spacing w:val="-2"/>
          <w:sz w:val="20"/>
          <w:szCs w:val="20"/>
        </w:rPr>
        <w:t>Jung TW, Park HS, Jeong JH, Lee T. Salsalate ameliorates the atherosclerotic response through HO-1- and SIRT1-mediated suppression of ER stress and inflammation. Inflamm Res. 2019; 68:655-663.</w:t>
      </w:r>
    </w:p>
    <w:p w14:paraId="0902E2B8" w14:textId="77777777" w:rsidR="00615745" w:rsidRPr="00632086" w:rsidRDefault="00615745" w:rsidP="00615745">
      <w:pPr>
        <w:ind w:left="535"/>
        <w:rPr>
          <w:rFonts w:ascii="Calibri" w:eastAsia="Times New Roman" w:hAnsi="Calibri" w:cstheme="minorHAnsi"/>
          <w:spacing w:val="-2"/>
          <w:sz w:val="20"/>
          <w:szCs w:val="20"/>
        </w:rPr>
      </w:pPr>
      <w:hyperlink r:id="rId23" w:history="1">
        <w:r w:rsidRPr="000F26BD">
          <w:rPr>
            <w:rStyle w:val="Hyperlink"/>
            <w:rFonts w:ascii="Calibri" w:eastAsia="Times New Roman" w:hAnsi="Calibri" w:cstheme="minorHAnsi"/>
            <w:spacing w:val="-2"/>
            <w:sz w:val="20"/>
            <w:szCs w:val="20"/>
          </w:rPr>
          <w:t>https://doi.org/10.1007/s00011-019-01248-6</w:t>
        </w:r>
      </w:hyperlink>
      <w:r>
        <w:rPr>
          <w:rFonts w:ascii="Calibri" w:eastAsia="Times New Roman" w:hAnsi="Calibri" w:cstheme="minorHAnsi"/>
          <w:spacing w:val="-2"/>
          <w:sz w:val="20"/>
          <w:szCs w:val="20"/>
        </w:rPr>
        <w:t xml:space="preserve">  </w:t>
      </w:r>
    </w:p>
    <w:p w14:paraId="4EC05BAC" w14:textId="77777777" w:rsidR="00615745" w:rsidRPr="00C10BBC" w:rsidRDefault="00615745" w:rsidP="00615745">
      <w:pPr>
        <w:ind w:left="535"/>
        <w:rPr>
          <w:rFonts w:ascii="Calibri" w:eastAsia="Times New Roman" w:hAnsi="Calibri" w:cstheme="minorHAnsi"/>
          <w:spacing w:val="-2"/>
          <w:sz w:val="20"/>
          <w:szCs w:val="20"/>
        </w:rPr>
      </w:pPr>
      <w:r w:rsidRPr="00632086">
        <w:rPr>
          <w:rFonts w:ascii="Calibri" w:eastAsia="Times New Roman" w:hAnsi="Calibri" w:cstheme="minorHAnsi"/>
          <w:spacing w:val="-2"/>
          <w:sz w:val="20"/>
          <w:szCs w:val="20"/>
        </w:rPr>
        <w:t>PMID:</w:t>
      </w:r>
      <w:hyperlink r:id="rId24" w:history="1">
        <w:r w:rsidRPr="00632086">
          <w:rPr>
            <w:rStyle w:val="Hyperlink"/>
            <w:rFonts w:ascii="Calibri" w:eastAsia="Times New Roman" w:hAnsi="Calibri" w:cstheme="minorHAnsi"/>
            <w:spacing w:val="-2"/>
            <w:sz w:val="20"/>
            <w:szCs w:val="20"/>
          </w:rPr>
          <w:t>31143972</w:t>
        </w:r>
      </w:hyperlink>
    </w:p>
    <w:p w14:paraId="4489C37B"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10.</w:t>
      </w:r>
      <w:r w:rsidRPr="00C10BBC">
        <w:rPr>
          <w:rFonts w:ascii="Calibri" w:eastAsia="Times New Roman" w:hAnsi="Calibri" w:cstheme="minorHAnsi"/>
          <w:spacing w:val="-2"/>
          <w:sz w:val="20"/>
          <w:szCs w:val="20"/>
        </w:rPr>
        <w:tab/>
      </w:r>
      <w:bookmarkStart w:id="23" w:name="b10"/>
      <w:bookmarkStart w:id="24" w:name="idm1000828080"/>
      <w:bookmarkEnd w:id="23"/>
      <w:bookmarkEnd w:id="24"/>
      <w:r w:rsidRPr="00C10BBC">
        <w:rPr>
          <w:rFonts w:ascii="Calibri" w:eastAsia="Times New Roman" w:hAnsi="Calibri" w:cstheme="minorHAnsi"/>
          <w:spacing w:val="-2"/>
          <w:sz w:val="20"/>
          <w:szCs w:val="20"/>
        </w:rPr>
        <w:t xml:space="preserve">Kishimoto Y, Sasaki K, Saita E, Niki H, Ohmori R, Kondo K, Momiyama Y. Plasma Heme Oxygenase-1 Levels and Carotid Atherosclerosis. Stroke. 2018; 49:2230-32. </w:t>
      </w:r>
    </w:p>
    <w:p w14:paraId="741D1208"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25" w:tgtFrame="_blank" w:history="1">
        <w:r w:rsidRPr="00C10BBC">
          <w:rPr>
            <w:rFonts w:ascii="Calibri" w:eastAsia="Times New Roman" w:hAnsi="Calibri" w:cstheme="minorHAnsi"/>
            <w:color w:val="0000FF"/>
            <w:spacing w:val="-2"/>
            <w:sz w:val="20"/>
            <w:szCs w:val="20"/>
            <w:u w:val="single"/>
          </w:rPr>
          <w:t>https://doi.org/10.1161/STROKEAHA.118.022256</w:t>
        </w:r>
      </w:hyperlink>
      <w:r w:rsidRPr="00C10BBC">
        <w:rPr>
          <w:rFonts w:ascii="Calibri" w:eastAsia="Times New Roman" w:hAnsi="Calibri" w:cstheme="minorHAnsi"/>
          <w:spacing w:val="-2"/>
          <w:sz w:val="20"/>
          <w:szCs w:val="20"/>
        </w:rPr>
        <w:t xml:space="preserve"> </w:t>
      </w:r>
    </w:p>
    <w:p w14:paraId="1A49C0A2"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26"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30354985</w:t>
        </w:r>
      </w:hyperlink>
      <w:r w:rsidRPr="00C10BBC">
        <w:rPr>
          <w:rFonts w:ascii="Calibri" w:eastAsia="Times New Roman" w:hAnsi="Calibri" w:cstheme="minorHAnsi"/>
          <w:spacing w:val="-2"/>
          <w:sz w:val="20"/>
          <w:szCs w:val="20"/>
        </w:rPr>
        <w:t xml:space="preserve"> </w:t>
      </w:r>
    </w:p>
    <w:p w14:paraId="1A6FC6C5"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11.</w:t>
      </w:r>
      <w:r w:rsidRPr="00C10BBC">
        <w:rPr>
          <w:rFonts w:ascii="Calibri" w:eastAsia="Times New Roman" w:hAnsi="Calibri" w:cstheme="minorHAnsi"/>
          <w:spacing w:val="-2"/>
          <w:sz w:val="20"/>
          <w:szCs w:val="20"/>
        </w:rPr>
        <w:tab/>
      </w:r>
      <w:bookmarkStart w:id="25" w:name="b11"/>
      <w:bookmarkStart w:id="26" w:name="idm1167640896"/>
      <w:bookmarkEnd w:id="25"/>
      <w:bookmarkEnd w:id="26"/>
      <w:r w:rsidRPr="00C10BBC">
        <w:rPr>
          <w:rFonts w:ascii="Calibri" w:eastAsia="Times New Roman" w:hAnsi="Calibri" w:cstheme="minorHAnsi"/>
          <w:spacing w:val="-2"/>
          <w:sz w:val="20"/>
          <w:szCs w:val="20"/>
        </w:rPr>
        <w:t xml:space="preserve">Wei Y, Zhu M, Corbalan-Campos J, Heyll K, Weber C, Schober A. Regulation of Csf1r and Bcl6 in macrophages mediates the stage-specific effects of microRNA-155 on atherosclerosis. Arterioscler Thromb Vasc Biol. 2015; 35:796-803. </w:t>
      </w:r>
    </w:p>
    <w:p w14:paraId="4D2924B8"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27" w:tgtFrame="_blank" w:history="1">
        <w:r w:rsidRPr="00C10BBC">
          <w:rPr>
            <w:rFonts w:ascii="Calibri" w:eastAsia="Times New Roman" w:hAnsi="Calibri" w:cstheme="minorHAnsi"/>
            <w:color w:val="0000FF"/>
            <w:spacing w:val="-2"/>
            <w:sz w:val="20"/>
            <w:szCs w:val="20"/>
            <w:u w:val="single"/>
          </w:rPr>
          <w:t>https://doi.org/10.1161/ATVBAHA.114.304723</w:t>
        </w:r>
      </w:hyperlink>
      <w:r w:rsidRPr="00C10BBC">
        <w:rPr>
          <w:rFonts w:ascii="Calibri" w:eastAsia="Times New Roman" w:hAnsi="Calibri" w:cstheme="minorHAnsi"/>
          <w:spacing w:val="-2"/>
          <w:sz w:val="20"/>
          <w:szCs w:val="20"/>
        </w:rPr>
        <w:t xml:space="preserve"> </w:t>
      </w:r>
    </w:p>
    <w:p w14:paraId="3E7286AD"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28"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25810298</w:t>
        </w:r>
      </w:hyperlink>
      <w:r w:rsidRPr="00C10BBC">
        <w:rPr>
          <w:rFonts w:ascii="Calibri" w:eastAsia="Times New Roman" w:hAnsi="Calibri" w:cstheme="minorHAnsi"/>
          <w:spacing w:val="-2"/>
          <w:sz w:val="20"/>
          <w:szCs w:val="20"/>
        </w:rPr>
        <w:t xml:space="preserve"> </w:t>
      </w:r>
    </w:p>
    <w:p w14:paraId="4AA580E6"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12.</w:t>
      </w:r>
      <w:r w:rsidRPr="00C10BBC">
        <w:rPr>
          <w:rFonts w:ascii="Calibri" w:eastAsia="Times New Roman" w:hAnsi="Calibri" w:cstheme="minorHAnsi"/>
          <w:spacing w:val="-2"/>
          <w:sz w:val="20"/>
          <w:szCs w:val="20"/>
        </w:rPr>
        <w:tab/>
      </w:r>
      <w:bookmarkStart w:id="27" w:name="b12"/>
      <w:bookmarkStart w:id="28" w:name="idm1166947440"/>
      <w:bookmarkEnd w:id="27"/>
      <w:bookmarkEnd w:id="28"/>
      <w:r w:rsidRPr="00C10BBC">
        <w:rPr>
          <w:rFonts w:ascii="Calibri" w:eastAsia="Times New Roman" w:hAnsi="Calibri" w:cstheme="minorHAnsi"/>
          <w:spacing w:val="-2"/>
          <w:sz w:val="20"/>
          <w:szCs w:val="20"/>
        </w:rPr>
        <w:t xml:space="preserve">Chang HR, Josefs T, Scerbo D, Gumaste N, Hu Y, Huggins LA, Barrett TJ, Chiang SS, Grossman J, Bagdasarov S, Fisher EA, Goldberg IJ. Role of LpL (Lipoprotein Lipase) in Macrophage Polarization In Vitro and In Vivo. </w:t>
      </w:r>
      <w:r w:rsidRPr="00C10BBC">
        <w:rPr>
          <w:rFonts w:ascii="Calibri" w:eastAsia="Times New Roman" w:hAnsi="Calibri" w:cstheme="minorHAnsi"/>
          <w:spacing w:val="-2"/>
          <w:sz w:val="20"/>
          <w:szCs w:val="20"/>
          <w:lang w:val="pt-BR"/>
        </w:rPr>
        <w:t xml:space="preserve">Arterioscler Thromb Vasc Biol. 2019; 39:1967-85. </w:t>
      </w:r>
    </w:p>
    <w:p w14:paraId="4A4EE087"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29" w:tgtFrame="_blank" w:history="1">
        <w:r w:rsidRPr="00C10BBC">
          <w:rPr>
            <w:rFonts w:ascii="Calibri" w:eastAsia="Times New Roman" w:hAnsi="Calibri" w:cstheme="minorHAnsi"/>
            <w:color w:val="0000FF"/>
            <w:spacing w:val="-2"/>
            <w:sz w:val="20"/>
            <w:szCs w:val="20"/>
            <w:u w:val="single"/>
            <w:lang w:val="pt-BR"/>
          </w:rPr>
          <w:t>https://doi.org/10.1161/ATVBAHA.119.312389</w:t>
        </w:r>
      </w:hyperlink>
      <w:r w:rsidRPr="00C10BBC">
        <w:rPr>
          <w:rFonts w:ascii="Calibri" w:eastAsia="Times New Roman" w:hAnsi="Calibri" w:cstheme="minorHAnsi"/>
          <w:spacing w:val="-2"/>
          <w:sz w:val="20"/>
          <w:szCs w:val="20"/>
          <w:lang w:val="pt-BR"/>
        </w:rPr>
        <w:t xml:space="preserve"> </w:t>
      </w:r>
    </w:p>
    <w:p w14:paraId="4F08873D" w14:textId="77777777" w:rsidR="00615745" w:rsidRPr="00C10BBC" w:rsidRDefault="00615745" w:rsidP="00615745">
      <w:pPr>
        <w:ind w:left="529" w:hangingChars="270" w:hanging="529"/>
        <w:rPr>
          <w:rFonts w:ascii="Calibri" w:eastAsia="Times New Roman" w:hAnsi="Calibri" w:cstheme="minorHAnsi"/>
          <w:spacing w:val="-2"/>
          <w:sz w:val="20"/>
          <w:szCs w:val="20"/>
          <w:lang w:val="pt-BR"/>
        </w:rPr>
      </w:pPr>
      <w:r w:rsidRPr="00C10BBC">
        <w:rPr>
          <w:rFonts w:ascii="Calibri" w:hAnsi="Calibri" w:cstheme="minorHAnsi"/>
          <w:spacing w:val="-2"/>
          <w:sz w:val="20"/>
          <w:szCs w:val="20"/>
        </w:rPr>
        <w:tab/>
      </w:r>
      <w:hyperlink r:id="rId30"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lang w:val="pt-BR"/>
          </w:rPr>
          <w:t>31434492</w:t>
        </w:r>
      </w:hyperlink>
      <w:r w:rsidRPr="00C10BBC">
        <w:rPr>
          <w:rFonts w:ascii="Calibri" w:eastAsia="Times New Roman" w:hAnsi="Calibri" w:cstheme="minorHAnsi"/>
          <w:spacing w:val="-2"/>
          <w:sz w:val="20"/>
          <w:szCs w:val="20"/>
          <w:lang w:val="pt-BR"/>
        </w:rPr>
        <w:t xml:space="preserve"> </w:t>
      </w:r>
    </w:p>
    <w:p w14:paraId="15391417"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lang w:val="pt-BR"/>
        </w:rPr>
        <w:t>13.</w:t>
      </w:r>
      <w:r w:rsidRPr="00C10BBC">
        <w:rPr>
          <w:rFonts w:ascii="Calibri" w:eastAsia="Times New Roman" w:hAnsi="Calibri" w:cstheme="minorHAnsi"/>
          <w:spacing w:val="-2"/>
          <w:sz w:val="20"/>
          <w:szCs w:val="20"/>
          <w:lang w:val="pt-BR"/>
        </w:rPr>
        <w:tab/>
      </w:r>
      <w:bookmarkStart w:id="29" w:name="b13"/>
      <w:bookmarkStart w:id="30" w:name="idm1150606944"/>
      <w:bookmarkEnd w:id="29"/>
      <w:bookmarkEnd w:id="30"/>
      <w:r w:rsidRPr="00C10BBC">
        <w:rPr>
          <w:rFonts w:ascii="Calibri" w:eastAsia="Times New Roman" w:hAnsi="Calibri" w:cstheme="minorHAnsi"/>
          <w:spacing w:val="-2"/>
          <w:sz w:val="20"/>
          <w:szCs w:val="20"/>
          <w:lang w:val="pt-BR"/>
        </w:rPr>
        <w:t xml:space="preserve">Ferronato S, Scuro A, Gomez-Lira M, Mazzucco S, Olivato S, Turco A, Elisa O, Malerba G, Romanelli MG. </w:t>
      </w:r>
      <w:r w:rsidRPr="00C10BBC">
        <w:rPr>
          <w:rFonts w:ascii="Calibri" w:eastAsia="Times New Roman" w:hAnsi="Calibri" w:cstheme="minorHAnsi"/>
          <w:spacing w:val="-2"/>
          <w:sz w:val="20"/>
          <w:szCs w:val="20"/>
        </w:rPr>
        <w:t xml:space="preserve">Correlations between gene expression highlight a different activation of ACE/TLR4/PTGS2 signaling in symptomatic and asymptomatic plaques in atherosclerotic patients. Mol Biol Rep. 2018; 45:657-62. </w:t>
      </w:r>
    </w:p>
    <w:p w14:paraId="49C48388"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31" w:tgtFrame="_blank" w:history="1">
        <w:r w:rsidRPr="00C10BBC">
          <w:rPr>
            <w:rFonts w:ascii="Calibri" w:eastAsia="Times New Roman" w:hAnsi="Calibri" w:cstheme="minorHAnsi"/>
            <w:color w:val="0000FF"/>
            <w:spacing w:val="-2"/>
            <w:sz w:val="20"/>
            <w:szCs w:val="20"/>
            <w:u w:val="single"/>
          </w:rPr>
          <w:t>https://doi.org/10.1007/s11033-018-4207-7</w:t>
        </w:r>
      </w:hyperlink>
      <w:r w:rsidRPr="00C10BBC">
        <w:rPr>
          <w:rFonts w:ascii="Calibri" w:eastAsia="Times New Roman" w:hAnsi="Calibri" w:cstheme="minorHAnsi"/>
          <w:spacing w:val="-2"/>
          <w:sz w:val="20"/>
          <w:szCs w:val="20"/>
        </w:rPr>
        <w:t xml:space="preserve"> </w:t>
      </w:r>
    </w:p>
    <w:p w14:paraId="12F6D5B2"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32"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29923152</w:t>
        </w:r>
      </w:hyperlink>
      <w:r w:rsidRPr="00C10BBC">
        <w:rPr>
          <w:rFonts w:ascii="Calibri" w:eastAsia="Times New Roman" w:hAnsi="Calibri" w:cstheme="minorHAnsi"/>
          <w:spacing w:val="-2"/>
          <w:sz w:val="20"/>
          <w:szCs w:val="20"/>
        </w:rPr>
        <w:t xml:space="preserve"> </w:t>
      </w:r>
    </w:p>
    <w:p w14:paraId="2270C69D"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14.</w:t>
      </w:r>
      <w:r w:rsidRPr="00C10BBC">
        <w:rPr>
          <w:rFonts w:ascii="Calibri" w:eastAsia="Times New Roman" w:hAnsi="Calibri" w:cstheme="minorHAnsi"/>
          <w:spacing w:val="-2"/>
          <w:sz w:val="20"/>
          <w:szCs w:val="20"/>
        </w:rPr>
        <w:tab/>
      </w:r>
      <w:bookmarkStart w:id="31" w:name="b14"/>
      <w:bookmarkStart w:id="32" w:name="idm1171917328"/>
      <w:bookmarkEnd w:id="31"/>
      <w:bookmarkEnd w:id="32"/>
      <w:r w:rsidRPr="00C10BBC">
        <w:rPr>
          <w:rFonts w:ascii="Calibri" w:eastAsia="Times New Roman" w:hAnsi="Calibri" w:cstheme="minorHAnsi"/>
          <w:spacing w:val="-2"/>
          <w:sz w:val="20"/>
          <w:szCs w:val="20"/>
        </w:rPr>
        <w:t xml:space="preserve">Hammad SM, Twal WO, Barth JL, Smith KJ, Saad AF, Virella G, Argraves WS, Lopes-Virella MF. Oxidized LDL immune complexes and oxidized LDL differentially affect the expression of genes involved with inflammation and survival in human U937 monocytic cells. Atherosclerosis. 2009; 202:394-404. </w:t>
      </w:r>
    </w:p>
    <w:p w14:paraId="5B802A4F"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33" w:tgtFrame="_blank" w:history="1">
        <w:r w:rsidRPr="00C10BBC">
          <w:rPr>
            <w:rFonts w:ascii="Calibri" w:eastAsia="Times New Roman" w:hAnsi="Calibri" w:cstheme="minorHAnsi"/>
            <w:color w:val="0000FF"/>
            <w:spacing w:val="-2"/>
            <w:sz w:val="20"/>
            <w:szCs w:val="20"/>
            <w:u w:val="single"/>
          </w:rPr>
          <w:t>https://doi.org/10.1016/j.atherosclerosis.2008.05.032</w:t>
        </w:r>
      </w:hyperlink>
      <w:r w:rsidRPr="00C10BBC">
        <w:rPr>
          <w:rFonts w:ascii="Calibri" w:eastAsia="Times New Roman" w:hAnsi="Calibri" w:cstheme="minorHAnsi"/>
          <w:spacing w:val="-2"/>
          <w:sz w:val="20"/>
          <w:szCs w:val="20"/>
        </w:rPr>
        <w:t xml:space="preserve"> </w:t>
      </w:r>
    </w:p>
    <w:p w14:paraId="5EE3F828"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34"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18597759</w:t>
        </w:r>
      </w:hyperlink>
      <w:r w:rsidRPr="00C10BBC">
        <w:rPr>
          <w:rFonts w:ascii="Calibri" w:eastAsia="Times New Roman" w:hAnsi="Calibri" w:cstheme="minorHAnsi"/>
          <w:spacing w:val="-2"/>
          <w:sz w:val="20"/>
          <w:szCs w:val="20"/>
        </w:rPr>
        <w:t xml:space="preserve"> </w:t>
      </w:r>
    </w:p>
    <w:p w14:paraId="6AB4001A"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15.</w:t>
      </w:r>
      <w:r w:rsidRPr="00C10BBC">
        <w:rPr>
          <w:rFonts w:ascii="Calibri" w:eastAsia="Times New Roman" w:hAnsi="Calibri" w:cstheme="minorHAnsi"/>
          <w:spacing w:val="-2"/>
          <w:sz w:val="20"/>
          <w:szCs w:val="20"/>
        </w:rPr>
        <w:tab/>
      </w:r>
      <w:bookmarkStart w:id="33" w:name="b15"/>
      <w:bookmarkStart w:id="34" w:name="idm1154967280"/>
      <w:bookmarkEnd w:id="33"/>
      <w:bookmarkEnd w:id="34"/>
      <w:r w:rsidRPr="00C10BBC">
        <w:rPr>
          <w:rFonts w:ascii="Calibri" w:eastAsia="Times New Roman" w:hAnsi="Calibri" w:cstheme="minorHAnsi"/>
          <w:spacing w:val="-2"/>
          <w:sz w:val="20"/>
          <w:szCs w:val="20"/>
        </w:rPr>
        <w:t xml:space="preserve">Callegari A, Liu Y, White CC, Chait A, Gough P, Raines EW, Cox D, Kavanagh TJ, Rosenfeld ME. Gain and loss of function for glutathione synthesis: impact on advanced atherosclerosis in apolipoprotein E-deficient mice. Arterioscler Thromb Vasc Biol. 2011; 31:2473-82. </w:t>
      </w:r>
    </w:p>
    <w:p w14:paraId="1674E307"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35" w:tgtFrame="_blank" w:history="1">
        <w:r w:rsidRPr="00C10BBC">
          <w:rPr>
            <w:rFonts w:ascii="Calibri" w:eastAsia="Times New Roman" w:hAnsi="Calibri" w:cstheme="minorHAnsi"/>
            <w:color w:val="0000FF"/>
            <w:spacing w:val="-2"/>
            <w:sz w:val="20"/>
            <w:szCs w:val="20"/>
            <w:u w:val="single"/>
          </w:rPr>
          <w:t>https://doi.org/10.1161/ATVBAHA.111.229765</w:t>
        </w:r>
      </w:hyperlink>
      <w:r w:rsidRPr="00C10BBC">
        <w:rPr>
          <w:rFonts w:ascii="Calibri" w:eastAsia="Times New Roman" w:hAnsi="Calibri" w:cstheme="minorHAnsi"/>
          <w:spacing w:val="-2"/>
          <w:sz w:val="20"/>
          <w:szCs w:val="20"/>
        </w:rPr>
        <w:t xml:space="preserve"> </w:t>
      </w:r>
    </w:p>
    <w:p w14:paraId="1D364781"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36"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21868708</w:t>
        </w:r>
      </w:hyperlink>
    </w:p>
    <w:p w14:paraId="4661F009"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16.</w:t>
      </w:r>
      <w:r w:rsidRPr="00C10BBC">
        <w:rPr>
          <w:rFonts w:ascii="Calibri" w:eastAsia="Times New Roman" w:hAnsi="Calibri" w:cstheme="minorHAnsi"/>
          <w:spacing w:val="-2"/>
          <w:sz w:val="20"/>
          <w:szCs w:val="20"/>
        </w:rPr>
        <w:tab/>
      </w:r>
      <w:bookmarkStart w:id="35" w:name="b16"/>
      <w:bookmarkStart w:id="36" w:name="idm1125977824"/>
      <w:bookmarkEnd w:id="35"/>
      <w:bookmarkEnd w:id="36"/>
      <w:r w:rsidRPr="00C10BBC">
        <w:rPr>
          <w:rFonts w:ascii="Calibri" w:eastAsia="Times New Roman" w:hAnsi="Calibri" w:cstheme="minorHAnsi"/>
          <w:spacing w:val="-2"/>
          <w:sz w:val="20"/>
          <w:szCs w:val="20"/>
        </w:rPr>
        <w:t xml:space="preserve">Ma F, Li T, Zhang H, Wu G. MiR-30s Family Inhibit the Proliferation and Apoptosis in Human Coronary Artery Endothelial Cells Through Targeting the 3'UTR Region of ITGA4 and PLCG1. J Cardiovasc Pharmacol. 2016; 68:327-33. </w:t>
      </w:r>
    </w:p>
    <w:p w14:paraId="364270BF"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37" w:tgtFrame="_blank" w:history="1">
        <w:r w:rsidRPr="00C10BBC">
          <w:rPr>
            <w:rFonts w:ascii="Calibri" w:eastAsia="Times New Roman" w:hAnsi="Calibri" w:cstheme="minorHAnsi"/>
            <w:color w:val="0000FF"/>
            <w:spacing w:val="-2"/>
            <w:sz w:val="20"/>
            <w:szCs w:val="20"/>
            <w:u w:val="single"/>
          </w:rPr>
          <w:t>https://doi.org/10.1097/FJC.0000000000000419</w:t>
        </w:r>
      </w:hyperlink>
      <w:r w:rsidRPr="00C10BBC">
        <w:rPr>
          <w:rFonts w:ascii="Calibri" w:eastAsia="Times New Roman" w:hAnsi="Calibri" w:cstheme="minorHAnsi"/>
          <w:spacing w:val="-2"/>
          <w:sz w:val="20"/>
          <w:szCs w:val="20"/>
        </w:rPr>
        <w:t xml:space="preserve"> </w:t>
      </w:r>
    </w:p>
    <w:p w14:paraId="2DEC234F"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38"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27464494</w:t>
        </w:r>
      </w:hyperlink>
    </w:p>
    <w:p w14:paraId="571351F5"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lang w:val="pt-BR"/>
        </w:rPr>
        <w:t>17.</w:t>
      </w:r>
      <w:r w:rsidRPr="00C10BBC">
        <w:rPr>
          <w:rFonts w:ascii="Calibri" w:eastAsia="Times New Roman" w:hAnsi="Calibri" w:cstheme="minorHAnsi"/>
          <w:spacing w:val="-2"/>
          <w:sz w:val="20"/>
          <w:szCs w:val="20"/>
          <w:lang w:val="pt-BR"/>
        </w:rPr>
        <w:tab/>
      </w:r>
      <w:bookmarkStart w:id="37" w:name="b17"/>
      <w:bookmarkStart w:id="38" w:name="idm1153067808"/>
      <w:bookmarkEnd w:id="37"/>
      <w:bookmarkEnd w:id="38"/>
      <w:r w:rsidRPr="00C10BBC">
        <w:rPr>
          <w:rFonts w:ascii="Calibri" w:eastAsia="Times New Roman" w:hAnsi="Calibri" w:cstheme="minorHAnsi"/>
          <w:spacing w:val="-2"/>
          <w:sz w:val="20"/>
          <w:szCs w:val="20"/>
          <w:lang w:val="pt-BR"/>
        </w:rPr>
        <w:t xml:space="preserve">Iwata H, Goettsch C, Sharma A, Ricchiuto P, Goh WW, Halu A, Yamada I, Yoshida H, Hara T, Wei M, Inoue N, Fukuda D, Mojcher A, et al. </w:t>
      </w:r>
      <w:r w:rsidRPr="00C10BBC">
        <w:rPr>
          <w:rFonts w:ascii="Calibri" w:eastAsia="Times New Roman" w:hAnsi="Calibri" w:cstheme="minorHAnsi"/>
          <w:spacing w:val="-2"/>
          <w:sz w:val="20"/>
          <w:szCs w:val="20"/>
        </w:rPr>
        <w:t xml:space="preserve">PARP9 and PARP14 cross-regulate macrophage activation via STAT1 ADP-ribosylation. Nat Commun. 2016; 7:12849. </w:t>
      </w:r>
    </w:p>
    <w:p w14:paraId="1B3C100E"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39" w:tgtFrame="_blank" w:history="1">
        <w:r w:rsidRPr="00C10BBC">
          <w:rPr>
            <w:rFonts w:ascii="Calibri" w:eastAsia="Times New Roman" w:hAnsi="Calibri" w:cstheme="minorHAnsi"/>
            <w:color w:val="0000FF"/>
            <w:spacing w:val="-2"/>
            <w:sz w:val="20"/>
            <w:szCs w:val="20"/>
            <w:u w:val="single"/>
          </w:rPr>
          <w:t>https://doi.org/10.1038/ncomms12849</w:t>
        </w:r>
      </w:hyperlink>
      <w:r w:rsidRPr="00C10BBC">
        <w:rPr>
          <w:rFonts w:ascii="Calibri" w:eastAsia="Times New Roman" w:hAnsi="Calibri" w:cstheme="minorHAnsi"/>
          <w:spacing w:val="-2"/>
          <w:sz w:val="20"/>
          <w:szCs w:val="20"/>
        </w:rPr>
        <w:t xml:space="preserve"> </w:t>
      </w:r>
    </w:p>
    <w:p w14:paraId="6A4099B6"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40"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27796300</w:t>
        </w:r>
      </w:hyperlink>
      <w:r w:rsidRPr="00C10BBC">
        <w:rPr>
          <w:rFonts w:ascii="Calibri" w:eastAsia="Times New Roman" w:hAnsi="Calibri" w:cstheme="minorHAnsi"/>
          <w:spacing w:val="-2"/>
          <w:sz w:val="20"/>
          <w:szCs w:val="20"/>
        </w:rPr>
        <w:t xml:space="preserve"> </w:t>
      </w:r>
    </w:p>
    <w:p w14:paraId="4B55D6E6"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18.</w:t>
      </w:r>
      <w:r w:rsidRPr="00C10BBC">
        <w:rPr>
          <w:rFonts w:ascii="Calibri" w:eastAsia="Times New Roman" w:hAnsi="Calibri" w:cstheme="minorHAnsi"/>
          <w:spacing w:val="-2"/>
          <w:sz w:val="20"/>
          <w:szCs w:val="20"/>
        </w:rPr>
        <w:tab/>
      </w:r>
      <w:bookmarkStart w:id="39" w:name="b18"/>
      <w:bookmarkStart w:id="40" w:name="idm1139957216"/>
      <w:bookmarkEnd w:id="39"/>
      <w:bookmarkEnd w:id="40"/>
      <w:r w:rsidRPr="00C10BBC">
        <w:rPr>
          <w:rFonts w:ascii="Calibri" w:eastAsia="Times New Roman" w:hAnsi="Calibri" w:cstheme="minorHAnsi"/>
          <w:spacing w:val="-2"/>
          <w:sz w:val="20"/>
          <w:szCs w:val="20"/>
        </w:rPr>
        <w:t xml:space="preserve">Lagor WR, Fields DW, Bauer RC, Crawford A, Abt MC, Artis D, Wherry EJ, Rader DJ. Genetic manipulation of the ApoF/Stat2 locus supports an important role for type I interferon signaling in atherosclerosis. Atherosclerosis. 2014; 233:234-41. </w:t>
      </w:r>
    </w:p>
    <w:p w14:paraId="37221218"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41" w:tgtFrame="_blank" w:history="1">
        <w:r w:rsidRPr="00C10BBC">
          <w:rPr>
            <w:rFonts w:ascii="Calibri" w:eastAsia="Times New Roman" w:hAnsi="Calibri" w:cstheme="minorHAnsi"/>
            <w:color w:val="0000FF"/>
            <w:spacing w:val="-2"/>
            <w:sz w:val="20"/>
            <w:szCs w:val="20"/>
            <w:u w:val="single"/>
          </w:rPr>
          <w:t>https://doi.org/10.1016/j.atherosclerosis.2013.12.043</w:t>
        </w:r>
      </w:hyperlink>
      <w:r w:rsidRPr="00C10BBC">
        <w:rPr>
          <w:rFonts w:ascii="Calibri" w:eastAsia="Times New Roman" w:hAnsi="Calibri" w:cstheme="minorHAnsi"/>
          <w:spacing w:val="-2"/>
          <w:sz w:val="20"/>
          <w:szCs w:val="20"/>
        </w:rPr>
        <w:t xml:space="preserve"> </w:t>
      </w:r>
    </w:p>
    <w:p w14:paraId="311CE2B5"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42"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24529150</w:t>
        </w:r>
      </w:hyperlink>
      <w:r w:rsidRPr="00C10BBC">
        <w:rPr>
          <w:rFonts w:ascii="Calibri" w:eastAsia="Times New Roman" w:hAnsi="Calibri" w:cstheme="minorHAnsi"/>
          <w:spacing w:val="-2"/>
          <w:sz w:val="20"/>
          <w:szCs w:val="20"/>
        </w:rPr>
        <w:t xml:space="preserve"> </w:t>
      </w:r>
    </w:p>
    <w:p w14:paraId="3C32183D"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19.</w:t>
      </w:r>
      <w:r w:rsidRPr="00C10BBC">
        <w:rPr>
          <w:rFonts w:ascii="Calibri" w:eastAsia="Times New Roman" w:hAnsi="Calibri" w:cstheme="minorHAnsi"/>
          <w:spacing w:val="-2"/>
          <w:sz w:val="20"/>
          <w:szCs w:val="20"/>
        </w:rPr>
        <w:tab/>
      </w:r>
      <w:bookmarkStart w:id="41" w:name="b19"/>
      <w:bookmarkStart w:id="42" w:name="idm972645872"/>
      <w:bookmarkEnd w:id="41"/>
      <w:bookmarkEnd w:id="42"/>
      <w:r w:rsidRPr="00C10BBC">
        <w:rPr>
          <w:rFonts w:ascii="Calibri" w:eastAsia="Times New Roman" w:hAnsi="Calibri" w:cstheme="minorHAnsi"/>
          <w:spacing w:val="-2"/>
          <w:sz w:val="20"/>
          <w:szCs w:val="20"/>
        </w:rPr>
        <w:t xml:space="preserve">Giuliani C. The Flavonoid Quercetin Induces AP-1 Activation in FRTL-5 Thyroid Cells. Antioxidants. 2019; 8:E112. </w:t>
      </w:r>
    </w:p>
    <w:p w14:paraId="68D8B7DF"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43" w:tgtFrame="_blank" w:history="1">
        <w:r w:rsidRPr="00C10BBC">
          <w:rPr>
            <w:rFonts w:ascii="Calibri" w:eastAsia="Times New Roman" w:hAnsi="Calibri" w:cstheme="minorHAnsi"/>
            <w:color w:val="0000FF"/>
            <w:spacing w:val="-2"/>
            <w:sz w:val="20"/>
            <w:szCs w:val="20"/>
            <w:u w:val="single"/>
          </w:rPr>
          <w:t>https://doi.org/10.3390/antiox8050112</w:t>
        </w:r>
      </w:hyperlink>
      <w:r w:rsidRPr="00C10BBC">
        <w:rPr>
          <w:rFonts w:ascii="Calibri" w:eastAsia="Times New Roman" w:hAnsi="Calibri" w:cstheme="minorHAnsi"/>
          <w:spacing w:val="-2"/>
          <w:sz w:val="20"/>
          <w:szCs w:val="20"/>
        </w:rPr>
        <w:t xml:space="preserve"> </w:t>
      </w:r>
    </w:p>
    <w:p w14:paraId="5D12CC70"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44"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31035637</w:t>
        </w:r>
      </w:hyperlink>
      <w:r w:rsidRPr="00C10BBC">
        <w:rPr>
          <w:rFonts w:ascii="Calibri" w:eastAsia="Times New Roman" w:hAnsi="Calibri" w:cstheme="minorHAnsi"/>
          <w:spacing w:val="-2"/>
          <w:sz w:val="20"/>
          <w:szCs w:val="20"/>
        </w:rPr>
        <w:t xml:space="preserve"> </w:t>
      </w:r>
    </w:p>
    <w:p w14:paraId="3539CA24"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20.</w:t>
      </w:r>
      <w:r w:rsidRPr="00C10BBC">
        <w:rPr>
          <w:rFonts w:ascii="Calibri" w:eastAsia="Times New Roman" w:hAnsi="Calibri" w:cstheme="minorHAnsi"/>
          <w:spacing w:val="-2"/>
          <w:sz w:val="20"/>
          <w:szCs w:val="20"/>
        </w:rPr>
        <w:tab/>
      </w:r>
      <w:bookmarkStart w:id="43" w:name="b20"/>
      <w:bookmarkStart w:id="44" w:name="idm1007712416"/>
      <w:bookmarkEnd w:id="43"/>
      <w:bookmarkEnd w:id="44"/>
      <w:r w:rsidRPr="00C10BBC">
        <w:rPr>
          <w:rFonts w:ascii="Calibri" w:eastAsia="Times New Roman" w:hAnsi="Calibri" w:cstheme="minorHAnsi"/>
          <w:spacing w:val="-2"/>
          <w:sz w:val="20"/>
          <w:szCs w:val="20"/>
        </w:rPr>
        <w:t xml:space="preserve">Nai W, Threapleton D, Lu J, Zhang K, Wu H, Fu Y, Wang Y, Ou Z, Shan L, Ding Y, Yu Y, Dai M. Identification of novel genes and pathways in carotid atheroma using integrated bioinformatic methods. Sci Rep. 2016; 6:18764. </w:t>
      </w:r>
    </w:p>
    <w:p w14:paraId="050C9EAC"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45" w:tgtFrame="_blank" w:history="1">
        <w:r w:rsidRPr="00C10BBC">
          <w:rPr>
            <w:rFonts w:ascii="Calibri" w:eastAsia="Times New Roman" w:hAnsi="Calibri" w:cstheme="minorHAnsi"/>
            <w:color w:val="0000FF"/>
            <w:spacing w:val="-2"/>
            <w:sz w:val="20"/>
            <w:szCs w:val="20"/>
            <w:u w:val="single"/>
          </w:rPr>
          <w:t>https://doi.org/10.1038/srep18764</w:t>
        </w:r>
      </w:hyperlink>
      <w:r w:rsidRPr="00C10BBC">
        <w:rPr>
          <w:rFonts w:ascii="Calibri" w:eastAsia="Times New Roman" w:hAnsi="Calibri" w:cstheme="minorHAnsi"/>
          <w:spacing w:val="-2"/>
          <w:sz w:val="20"/>
          <w:szCs w:val="20"/>
        </w:rPr>
        <w:t xml:space="preserve"> </w:t>
      </w:r>
    </w:p>
    <w:p w14:paraId="502FECEC"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46"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26742467</w:t>
        </w:r>
      </w:hyperlink>
    </w:p>
    <w:p w14:paraId="59A0FBAA"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21.</w:t>
      </w:r>
      <w:r w:rsidRPr="00C10BBC">
        <w:rPr>
          <w:rFonts w:ascii="Calibri" w:eastAsia="Times New Roman" w:hAnsi="Calibri" w:cstheme="minorHAnsi"/>
          <w:spacing w:val="-2"/>
          <w:sz w:val="20"/>
          <w:szCs w:val="20"/>
        </w:rPr>
        <w:tab/>
      </w:r>
      <w:bookmarkStart w:id="45" w:name="b21"/>
      <w:bookmarkStart w:id="46" w:name="idm1168940096"/>
      <w:bookmarkEnd w:id="45"/>
      <w:bookmarkEnd w:id="46"/>
      <w:r w:rsidRPr="00C10BBC">
        <w:rPr>
          <w:rFonts w:ascii="Calibri" w:eastAsia="Times New Roman" w:hAnsi="Calibri" w:cstheme="minorHAnsi"/>
          <w:spacing w:val="-2"/>
          <w:sz w:val="20"/>
          <w:szCs w:val="20"/>
        </w:rPr>
        <w:t xml:space="preserve">Zawada AM, Rogacev KS, Rotter B, Winter P, Marell RR, Fliser D, Heine GH. SuperSAGE evidence for CD14++CD16+ monocytes as a third monocyte subset. Blood. 2011; 118:e50-61. </w:t>
      </w:r>
    </w:p>
    <w:p w14:paraId="0FE3921C"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47" w:tgtFrame="_blank" w:history="1">
        <w:r w:rsidRPr="00C10BBC">
          <w:rPr>
            <w:rFonts w:ascii="Calibri" w:eastAsia="Times New Roman" w:hAnsi="Calibri" w:cstheme="minorHAnsi"/>
            <w:color w:val="0000FF"/>
            <w:spacing w:val="-2"/>
            <w:sz w:val="20"/>
            <w:szCs w:val="20"/>
            <w:u w:val="single"/>
          </w:rPr>
          <w:t>https://doi.org/10.1182/blood-2011-01-326827</w:t>
        </w:r>
      </w:hyperlink>
      <w:r w:rsidRPr="00C10BBC">
        <w:rPr>
          <w:rFonts w:ascii="Calibri" w:eastAsia="Times New Roman" w:hAnsi="Calibri" w:cstheme="minorHAnsi"/>
          <w:spacing w:val="-2"/>
          <w:sz w:val="20"/>
          <w:szCs w:val="20"/>
        </w:rPr>
        <w:t xml:space="preserve"> </w:t>
      </w:r>
    </w:p>
    <w:p w14:paraId="2868FE7C"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48"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21803849</w:t>
        </w:r>
      </w:hyperlink>
      <w:r w:rsidRPr="00C10BBC">
        <w:rPr>
          <w:rFonts w:ascii="Calibri" w:eastAsia="Times New Roman" w:hAnsi="Calibri" w:cstheme="minorHAnsi"/>
          <w:spacing w:val="-2"/>
          <w:sz w:val="20"/>
          <w:szCs w:val="20"/>
        </w:rPr>
        <w:t xml:space="preserve"> </w:t>
      </w:r>
    </w:p>
    <w:p w14:paraId="5EF7AB5E"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22.</w:t>
      </w:r>
      <w:r w:rsidRPr="00C10BBC">
        <w:rPr>
          <w:rFonts w:ascii="Calibri" w:eastAsia="Times New Roman" w:hAnsi="Calibri" w:cstheme="minorHAnsi"/>
          <w:spacing w:val="-2"/>
          <w:sz w:val="20"/>
          <w:szCs w:val="20"/>
        </w:rPr>
        <w:tab/>
      </w:r>
      <w:bookmarkStart w:id="47" w:name="b22"/>
      <w:bookmarkStart w:id="48" w:name="idm1169364608"/>
      <w:bookmarkEnd w:id="47"/>
      <w:bookmarkEnd w:id="48"/>
      <w:r w:rsidRPr="00C10BBC">
        <w:rPr>
          <w:rFonts w:ascii="Calibri" w:eastAsia="Times New Roman" w:hAnsi="Calibri" w:cstheme="minorHAnsi"/>
          <w:spacing w:val="-2"/>
          <w:sz w:val="20"/>
          <w:szCs w:val="20"/>
        </w:rPr>
        <w:t xml:space="preserve">Li W, Xin B, Yan J, Wu Y, Hu B, Liu L, Wang Y, Ahn J, Skowronski J, Zhang Z, Wang Y, Wang H. SAMHD1 Gene Mutations Are Associated with Cerebral Large-Artery Atherosclerosis. BioMed Res Int. 2015; 2015:739586. </w:t>
      </w:r>
    </w:p>
    <w:p w14:paraId="5E762A8F"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49" w:tgtFrame="_blank" w:history="1">
        <w:r w:rsidRPr="00C10BBC">
          <w:rPr>
            <w:rFonts w:ascii="Calibri" w:eastAsia="Times New Roman" w:hAnsi="Calibri" w:cstheme="minorHAnsi"/>
            <w:color w:val="0000FF"/>
            <w:spacing w:val="-2"/>
            <w:sz w:val="20"/>
            <w:szCs w:val="20"/>
            <w:u w:val="single"/>
          </w:rPr>
          <w:t>https://doi.org/10.1155/2015/739586</w:t>
        </w:r>
      </w:hyperlink>
      <w:r w:rsidRPr="00C10BBC">
        <w:rPr>
          <w:rFonts w:ascii="Calibri" w:eastAsia="Times New Roman" w:hAnsi="Calibri" w:cstheme="minorHAnsi"/>
          <w:spacing w:val="-2"/>
          <w:sz w:val="20"/>
          <w:szCs w:val="20"/>
        </w:rPr>
        <w:t xml:space="preserve"> </w:t>
      </w:r>
    </w:p>
    <w:p w14:paraId="764BA1FD"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50"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26504826</w:t>
        </w:r>
      </w:hyperlink>
      <w:r w:rsidRPr="00C10BBC">
        <w:rPr>
          <w:rFonts w:ascii="Calibri" w:eastAsia="Times New Roman" w:hAnsi="Calibri" w:cstheme="minorHAnsi"/>
          <w:spacing w:val="-2"/>
          <w:sz w:val="20"/>
          <w:szCs w:val="20"/>
        </w:rPr>
        <w:t xml:space="preserve"> </w:t>
      </w:r>
    </w:p>
    <w:p w14:paraId="4E925248"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23.</w:t>
      </w:r>
      <w:r w:rsidRPr="00C10BBC">
        <w:rPr>
          <w:rFonts w:ascii="Calibri" w:eastAsia="Times New Roman" w:hAnsi="Calibri" w:cstheme="minorHAnsi"/>
          <w:spacing w:val="-2"/>
          <w:sz w:val="20"/>
          <w:szCs w:val="20"/>
        </w:rPr>
        <w:tab/>
      </w:r>
      <w:bookmarkStart w:id="49" w:name="b23"/>
      <w:bookmarkStart w:id="50" w:name="idm1173301408"/>
      <w:bookmarkEnd w:id="49"/>
      <w:bookmarkEnd w:id="50"/>
      <w:r w:rsidRPr="00C10BBC">
        <w:rPr>
          <w:rFonts w:ascii="Calibri" w:eastAsia="Times New Roman" w:hAnsi="Calibri" w:cstheme="minorHAnsi"/>
          <w:spacing w:val="-2"/>
          <w:sz w:val="20"/>
          <w:szCs w:val="20"/>
        </w:rPr>
        <w:t xml:space="preserve">Wang M, Li L, Liu R, Song Y, Zhang X, Niu W, Kumar AK, Guo Z, Hu Z. Obesity-induced overexpression of miRNA-24 regulates cholesterol uptake and lipid metabolism by targeting SR-B1. Gene. 2018; 668:196-203. </w:t>
      </w:r>
    </w:p>
    <w:p w14:paraId="5E6B793C"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51" w:tgtFrame="_blank" w:history="1">
        <w:r w:rsidRPr="00C10BBC">
          <w:rPr>
            <w:rFonts w:ascii="Calibri" w:eastAsia="Times New Roman" w:hAnsi="Calibri" w:cstheme="minorHAnsi"/>
            <w:color w:val="0000FF"/>
            <w:spacing w:val="-2"/>
            <w:sz w:val="20"/>
            <w:szCs w:val="20"/>
            <w:u w:val="single"/>
          </w:rPr>
          <w:t>https://doi.org/10.1016/j.gene.2018.05.072</w:t>
        </w:r>
      </w:hyperlink>
      <w:r w:rsidRPr="00C10BBC">
        <w:rPr>
          <w:rFonts w:ascii="Calibri" w:eastAsia="Times New Roman" w:hAnsi="Calibri" w:cstheme="minorHAnsi"/>
          <w:spacing w:val="-2"/>
          <w:sz w:val="20"/>
          <w:szCs w:val="20"/>
        </w:rPr>
        <w:t xml:space="preserve"> </w:t>
      </w:r>
    </w:p>
    <w:p w14:paraId="5C16CDE9"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52"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29787826</w:t>
        </w:r>
      </w:hyperlink>
      <w:r w:rsidRPr="00C10BBC">
        <w:rPr>
          <w:rFonts w:ascii="Calibri" w:eastAsia="Times New Roman" w:hAnsi="Calibri" w:cstheme="minorHAnsi"/>
          <w:spacing w:val="-2"/>
          <w:sz w:val="20"/>
          <w:szCs w:val="20"/>
        </w:rPr>
        <w:t xml:space="preserve"> </w:t>
      </w:r>
    </w:p>
    <w:p w14:paraId="71E638AF"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24.</w:t>
      </w:r>
      <w:r w:rsidRPr="00C10BBC">
        <w:rPr>
          <w:rFonts w:ascii="Calibri" w:eastAsia="Times New Roman" w:hAnsi="Calibri" w:cstheme="minorHAnsi"/>
          <w:spacing w:val="-2"/>
          <w:sz w:val="20"/>
          <w:szCs w:val="20"/>
        </w:rPr>
        <w:tab/>
      </w:r>
      <w:bookmarkStart w:id="51" w:name="b24"/>
      <w:bookmarkStart w:id="52" w:name="idm1007682672"/>
      <w:bookmarkEnd w:id="51"/>
      <w:bookmarkEnd w:id="52"/>
      <w:r w:rsidRPr="00C10BBC">
        <w:rPr>
          <w:rFonts w:ascii="Calibri" w:eastAsia="Times New Roman" w:hAnsi="Calibri" w:cstheme="minorHAnsi"/>
          <w:spacing w:val="-2"/>
          <w:sz w:val="20"/>
          <w:szCs w:val="20"/>
        </w:rPr>
        <w:t xml:space="preserve">Clement M, Basatemur G, Masters L, Baker L, Bruneval P, Iwawaki T, Kneilling M, Yamasaki S, Goodall J, Mallat Z. Necrotic Cell Sensor Clec4e Promotes a Proatherogenic Macrophage Phenotype Through Activation of the Unfolded Protein Response. Circulation. 2016; 134:1039-51. </w:t>
      </w:r>
    </w:p>
    <w:p w14:paraId="281997FF"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53" w:tgtFrame="_blank" w:history="1">
        <w:r w:rsidRPr="00C10BBC">
          <w:rPr>
            <w:rFonts w:ascii="Calibri" w:eastAsia="Times New Roman" w:hAnsi="Calibri" w:cstheme="minorHAnsi"/>
            <w:color w:val="0000FF"/>
            <w:spacing w:val="-2"/>
            <w:sz w:val="20"/>
            <w:szCs w:val="20"/>
            <w:u w:val="single"/>
          </w:rPr>
          <w:t>https://doi.org/10.1161/CIRCULATIONAHA.116.022668</w:t>
        </w:r>
      </w:hyperlink>
      <w:r w:rsidRPr="00C10BBC">
        <w:rPr>
          <w:rFonts w:ascii="Calibri" w:eastAsia="Times New Roman" w:hAnsi="Calibri" w:cstheme="minorHAnsi"/>
          <w:spacing w:val="-2"/>
          <w:sz w:val="20"/>
          <w:szCs w:val="20"/>
        </w:rPr>
        <w:t xml:space="preserve"> </w:t>
      </w:r>
    </w:p>
    <w:p w14:paraId="78E8E63A"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54"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27587433</w:t>
        </w:r>
      </w:hyperlink>
      <w:r w:rsidRPr="00C10BBC">
        <w:rPr>
          <w:rFonts w:ascii="Calibri" w:eastAsia="Times New Roman" w:hAnsi="Calibri" w:cstheme="minorHAnsi"/>
          <w:spacing w:val="-2"/>
          <w:sz w:val="20"/>
          <w:szCs w:val="20"/>
        </w:rPr>
        <w:t xml:space="preserve"> </w:t>
      </w:r>
    </w:p>
    <w:p w14:paraId="19D5420C"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25.</w:t>
      </w:r>
      <w:r w:rsidRPr="00C10BBC">
        <w:rPr>
          <w:rFonts w:ascii="Calibri" w:eastAsia="Times New Roman" w:hAnsi="Calibri" w:cstheme="minorHAnsi"/>
          <w:spacing w:val="-2"/>
          <w:sz w:val="20"/>
          <w:szCs w:val="20"/>
        </w:rPr>
        <w:tab/>
      </w:r>
      <w:bookmarkStart w:id="53" w:name="b25"/>
      <w:bookmarkStart w:id="54" w:name="idm1000240000"/>
      <w:bookmarkEnd w:id="53"/>
      <w:bookmarkEnd w:id="54"/>
      <w:r w:rsidRPr="00C10BBC">
        <w:rPr>
          <w:rFonts w:ascii="Calibri" w:eastAsia="Times New Roman" w:hAnsi="Calibri" w:cstheme="minorHAnsi"/>
          <w:spacing w:val="-2"/>
          <w:sz w:val="20"/>
          <w:szCs w:val="20"/>
        </w:rPr>
        <w:t xml:space="preserve">Huang C, Lewis C, Borg NA, Canals M, Diep H, Drummond GR, Goode RJ, Schittenhelm RB, Vinh A, Zhu M, Kemp-Harper B, Kleifeld O, Stone MJ. Proteomic Identification of Interferon-Induced Proteins with Tetratricopeptide Repeats as Markers of M1 Macrophage Polarization. J Proteome Res. 2018; 17:1485-99. </w:t>
      </w:r>
    </w:p>
    <w:p w14:paraId="25538D52"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55" w:tgtFrame="_blank" w:history="1">
        <w:r w:rsidRPr="00C10BBC">
          <w:rPr>
            <w:rFonts w:ascii="Calibri" w:eastAsia="Times New Roman" w:hAnsi="Calibri" w:cstheme="minorHAnsi"/>
            <w:color w:val="0000FF"/>
            <w:spacing w:val="-2"/>
            <w:sz w:val="20"/>
            <w:szCs w:val="20"/>
            <w:u w:val="single"/>
          </w:rPr>
          <w:t>https://doi.org/10.1021/acs.jproteome.7b00828</w:t>
        </w:r>
      </w:hyperlink>
      <w:r w:rsidRPr="00C10BBC">
        <w:rPr>
          <w:rFonts w:ascii="Calibri" w:eastAsia="Times New Roman" w:hAnsi="Calibri" w:cstheme="minorHAnsi"/>
          <w:spacing w:val="-2"/>
          <w:sz w:val="20"/>
          <w:szCs w:val="20"/>
        </w:rPr>
        <w:t xml:space="preserve"> </w:t>
      </w:r>
    </w:p>
    <w:p w14:paraId="116136CB"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56"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29508616</w:t>
        </w:r>
      </w:hyperlink>
      <w:r w:rsidRPr="00C10BBC">
        <w:rPr>
          <w:rFonts w:ascii="Calibri" w:eastAsia="Times New Roman" w:hAnsi="Calibri" w:cstheme="minorHAnsi"/>
          <w:spacing w:val="-2"/>
          <w:sz w:val="20"/>
          <w:szCs w:val="20"/>
        </w:rPr>
        <w:t xml:space="preserve"> </w:t>
      </w:r>
    </w:p>
    <w:p w14:paraId="597FBF78"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26.</w:t>
      </w:r>
      <w:r w:rsidRPr="00C10BBC">
        <w:rPr>
          <w:rFonts w:ascii="Calibri" w:eastAsia="Times New Roman" w:hAnsi="Calibri" w:cstheme="minorHAnsi"/>
          <w:spacing w:val="-2"/>
          <w:sz w:val="20"/>
          <w:szCs w:val="20"/>
        </w:rPr>
        <w:tab/>
      </w:r>
      <w:bookmarkStart w:id="55" w:name="b26"/>
      <w:bookmarkStart w:id="56" w:name="idm1150599968"/>
      <w:bookmarkEnd w:id="55"/>
      <w:bookmarkEnd w:id="56"/>
      <w:r w:rsidRPr="00C10BBC">
        <w:rPr>
          <w:rFonts w:ascii="Calibri" w:eastAsia="Times New Roman" w:hAnsi="Calibri" w:cstheme="minorHAnsi"/>
          <w:spacing w:val="-2"/>
          <w:sz w:val="20"/>
          <w:szCs w:val="20"/>
        </w:rPr>
        <w:t xml:space="preserve">Sorrentino R, Morello S, Chen S, Bonavita E, Pinto A. The activation of liver X receptors inhibits toll-like receptor-9-induced foam cell formation. J Cell Physiol. 2010; 223:158-67. </w:t>
      </w:r>
    </w:p>
    <w:p w14:paraId="14E14181"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57" w:tgtFrame="_blank" w:history="1">
        <w:r w:rsidRPr="00C10BBC">
          <w:rPr>
            <w:rFonts w:ascii="Calibri" w:eastAsia="Times New Roman" w:hAnsi="Calibri" w:cstheme="minorHAnsi"/>
            <w:color w:val="0000FF"/>
            <w:spacing w:val="-2"/>
            <w:sz w:val="20"/>
            <w:szCs w:val="20"/>
            <w:u w:val="single"/>
          </w:rPr>
          <w:t>https://doi.org/10.1002/jcp.22022</w:t>
        </w:r>
      </w:hyperlink>
      <w:r w:rsidRPr="00C10BBC">
        <w:rPr>
          <w:rFonts w:ascii="Calibri" w:eastAsia="Times New Roman" w:hAnsi="Calibri" w:cstheme="minorHAnsi"/>
          <w:spacing w:val="-2"/>
          <w:sz w:val="20"/>
          <w:szCs w:val="20"/>
        </w:rPr>
        <w:t xml:space="preserve"> </w:t>
      </w:r>
    </w:p>
    <w:p w14:paraId="209A9C5A"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58"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20049870</w:t>
        </w:r>
      </w:hyperlink>
      <w:r w:rsidRPr="00C10BBC">
        <w:rPr>
          <w:rFonts w:ascii="Calibri" w:eastAsia="Times New Roman" w:hAnsi="Calibri" w:cstheme="minorHAnsi"/>
          <w:spacing w:val="-2"/>
          <w:sz w:val="20"/>
          <w:szCs w:val="20"/>
        </w:rPr>
        <w:t xml:space="preserve"> </w:t>
      </w:r>
    </w:p>
    <w:p w14:paraId="666CDBCB"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27.</w:t>
      </w:r>
      <w:r w:rsidRPr="00C10BBC">
        <w:rPr>
          <w:rFonts w:ascii="Calibri" w:eastAsia="Times New Roman" w:hAnsi="Calibri" w:cstheme="minorHAnsi"/>
          <w:spacing w:val="-2"/>
          <w:sz w:val="20"/>
          <w:szCs w:val="20"/>
        </w:rPr>
        <w:tab/>
      </w:r>
      <w:bookmarkStart w:id="57" w:name="b27"/>
      <w:bookmarkStart w:id="58" w:name="idm973456528"/>
      <w:bookmarkEnd w:id="57"/>
      <w:bookmarkEnd w:id="58"/>
      <w:r w:rsidRPr="00C10BBC">
        <w:rPr>
          <w:rFonts w:ascii="Calibri" w:eastAsia="Times New Roman" w:hAnsi="Calibri" w:cstheme="minorHAnsi"/>
          <w:spacing w:val="-2"/>
          <w:sz w:val="20"/>
          <w:szCs w:val="20"/>
        </w:rPr>
        <w:t xml:space="preserve">Gromovsky AD, Schugar RC, Brown AL, Helsley RN, Burrows AC, Ferguson D, Zhang R, Sansbury BE, Lee RG, Morton RE, Allende DS, Parks JS, Spite M, Brown JM. ?-5 Fatty Acid Desaturase </w:t>
      </w:r>
      <w:r w:rsidRPr="00C10BBC">
        <w:rPr>
          <w:rFonts w:ascii="Calibri" w:eastAsia="Times New Roman" w:hAnsi="Calibri" w:cstheme="minorHAnsi"/>
          <w:i/>
          <w:iCs/>
          <w:spacing w:val="-2"/>
          <w:sz w:val="20"/>
          <w:szCs w:val="20"/>
        </w:rPr>
        <w:t>FADS1</w:t>
      </w:r>
      <w:r w:rsidRPr="00C10BBC">
        <w:rPr>
          <w:rFonts w:ascii="Calibri" w:eastAsia="Times New Roman" w:hAnsi="Calibri" w:cstheme="minorHAnsi"/>
          <w:spacing w:val="-2"/>
          <w:sz w:val="20"/>
          <w:szCs w:val="20"/>
        </w:rPr>
        <w:t xml:space="preserve"> Impacts Metabolic Disease by Balancing Proinflammatory and Proresolving Lipid Mediators. Arterioscler Thromb Vasc Biol. 2018; 38:218-31. </w:t>
      </w:r>
    </w:p>
    <w:p w14:paraId="7938F64D"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59" w:tgtFrame="_blank" w:history="1">
        <w:r w:rsidRPr="00C10BBC">
          <w:rPr>
            <w:rFonts w:ascii="Calibri" w:eastAsia="Times New Roman" w:hAnsi="Calibri" w:cstheme="minorHAnsi"/>
            <w:color w:val="0000FF"/>
            <w:spacing w:val="-2"/>
            <w:sz w:val="20"/>
            <w:szCs w:val="20"/>
            <w:u w:val="single"/>
          </w:rPr>
          <w:t>https://doi.org/10.1161/ATVBAHA.117.309660</w:t>
        </w:r>
      </w:hyperlink>
      <w:r w:rsidRPr="00C10BBC">
        <w:rPr>
          <w:rFonts w:ascii="Calibri" w:eastAsia="Times New Roman" w:hAnsi="Calibri" w:cstheme="minorHAnsi"/>
          <w:spacing w:val="-2"/>
          <w:sz w:val="20"/>
          <w:szCs w:val="20"/>
        </w:rPr>
        <w:t xml:space="preserve"> </w:t>
      </w:r>
    </w:p>
    <w:p w14:paraId="194DD5F8"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60"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29074585</w:t>
        </w:r>
      </w:hyperlink>
      <w:r w:rsidRPr="00C10BBC">
        <w:rPr>
          <w:rFonts w:ascii="Calibri" w:eastAsia="Times New Roman" w:hAnsi="Calibri" w:cstheme="minorHAnsi"/>
          <w:spacing w:val="-2"/>
          <w:sz w:val="20"/>
          <w:szCs w:val="20"/>
        </w:rPr>
        <w:t xml:space="preserve"> </w:t>
      </w:r>
    </w:p>
    <w:p w14:paraId="5A165772"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28.</w:t>
      </w:r>
      <w:r w:rsidRPr="00C10BBC">
        <w:rPr>
          <w:rFonts w:ascii="Calibri" w:eastAsia="Times New Roman" w:hAnsi="Calibri" w:cstheme="minorHAnsi"/>
          <w:spacing w:val="-2"/>
          <w:sz w:val="20"/>
          <w:szCs w:val="20"/>
        </w:rPr>
        <w:tab/>
      </w:r>
      <w:bookmarkStart w:id="59" w:name="b28"/>
      <w:bookmarkStart w:id="60" w:name="idm1166958528"/>
      <w:bookmarkEnd w:id="59"/>
      <w:bookmarkEnd w:id="60"/>
      <w:r w:rsidRPr="00C10BBC">
        <w:rPr>
          <w:rFonts w:ascii="Calibri" w:eastAsia="Times New Roman" w:hAnsi="Calibri" w:cstheme="minorHAnsi"/>
          <w:spacing w:val="-2"/>
          <w:sz w:val="20"/>
          <w:szCs w:val="20"/>
        </w:rPr>
        <w:t xml:space="preserve">Worrall BB, Azhar S, Nyquist PA, Ackerman RH, Hamm TL, DeGraba TJ. Interleukin-1 receptor antagonist gene polymorphisms in carotid atherosclerosis. Stroke. 2003; 34:790-93. </w:t>
      </w:r>
    </w:p>
    <w:p w14:paraId="26258DC7"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61" w:tgtFrame="_blank" w:history="1">
        <w:r w:rsidRPr="00C10BBC">
          <w:rPr>
            <w:rFonts w:ascii="Calibri" w:eastAsia="Times New Roman" w:hAnsi="Calibri" w:cstheme="minorHAnsi"/>
            <w:color w:val="0000FF"/>
            <w:spacing w:val="-2"/>
            <w:sz w:val="20"/>
            <w:szCs w:val="20"/>
            <w:u w:val="single"/>
          </w:rPr>
          <w:t>https://doi.org/10.1161/01.STR.0000057815.79289.EC</w:t>
        </w:r>
      </w:hyperlink>
      <w:r w:rsidRPr="00C10BBC">
        <w:rPr>
          <w:rFonts w:ascii="Calibri" w:eastAsia="Times New Roman" w:hAnsi="Calibri" w:cstheme="minorHAnsi"/>
          <w:spacing w:val="-2"/>
          <w:sz w:val="20"/>
          <w:szCs w:val="20"/>
        </w:rPr>
        <w:t xml:space="preserve"> </w:t>
      </w:r>
    </w:p>
    <w:p w14:paraId="09BCCB36"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62"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12624309</w:t>
        </w:r>
      </w:hyperlink>
      <w:r w:rsidRPr="00C10BBC">
        <w:rPr>
          <w:rFonts w:ascii="Calibri" w:eastAsia="Times New Roman" w:hAnsi="Calibri" w:cstheme="minorHAnsi"/>
          <w:spacing w:val="-2"/>
          <w:sz w:val="20"/>
          <w:szCs w:val="20"/>
        </w:rPr>
        <w:t xml:space="preserve"> </w:t>
      </w:r>
    </w:p>
    <w:p w14:paraId="2ACC87C6"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29.</w:t>
      </w:r>
      <w:r w:rsidRPr="00C10BBC">
        <w:rPr>
          <w:rFonts w:ascii="Calibri" w:eastAsia="Times New Roman" w:hAnsi="Calibri" w:cstheme="minorHAnsi"/>
          <w:spacing w:val="-2"/>
          <w:sz w:val="20"/>
          <w:szCs w:val="20"/>
        </w:rPr>
        <w:tab/>
      </w:r>
      <w:bookmarkStart w:id="61" w:name="b29"/>
      <w:bookmarkStart w:id="62" w:name="idm1140286256"/>
      <w:bookmarkEnd w:id="61"/>
      <w:bookmarkEnd w:id="62"/>
      <w:r w:rsidRPr="00C10BBC">
        <w:rPr>
          <w:rFonts w:ascii="Calibri" w:eastAsia="Times New Roman" w:hAnsi="Calibri" w:cstheme="minorHAnsi"/>
          <w:spacing w:val="-2"/>
          <w:sz w:val="20"/>
          <w:szCs w:val="20"/>
        </w:rPr>
        <w:t xml:space="preserve">Islam Z, Inui T, Ishibashi O. Gpr137b is an orphan G-protein-coupled receptor associated with M2 macrophage polarization. Biochem Biophys Res Commun. 2019; 509:657-63. </w:t>
      </w:r>
    </w:p>
    <w:p w14:paraId="03817067"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63" w:tgtFrame="_blank" w:history="1">
        <w:r w:rsidRPr="00C10BBC">
          <w:rPr>
            <w:rFonts w:ascii="Calibri" w:eastAsia="Times New Roman" w:hAnsi="Calibri" w:cstheme="minorHAnsi"/>
            <w:color w:val="0000FF"/>
            <w:spacing w:val="-2"/>
            <w:sz w:val="20"/>
            <w:szCs w:val="20"/>
            <w:u w:val="single"/>
          </w:rPr>
          <w:t>https://doi.org/10.1016/j.bbrc.2018.12.140</w:t>
        </w:r>
      </w:hyperlink>
      <w:r w:rsidRPr="00C10BBC">
        <w:rPr>
          <w:rFonts w:ascii="Calibri" w:eastAsia="Times New Roman" w:hAnsi="Calibri" w:cstheme="minorHAnsi"/>
          <w:spacing w:val="-2"/>
          <w:sz w:val="20"/>
          <w:szCs w:val="20"/>
        </w:rPr>
        <w:t xml:space="preserve"> </w:t>
      </w:r>
    </w:p>
    <w:p w14:paraId="17C1DF1C"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64"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30595385</w:t>
        </w:r>
      </w:hyperlink>
      <w:r w:rsidRPr="00C10BBC">
        <w:rPr>
          <w:rFonts w:ascii="Calibri" w:eastAsia="Times New Roman" w:hAnsi="Calibri" w:cstheme="minorHAnsi"/>
          <w:spacing w:val="-2"/>
          <w:sz w:val="20"/>
          <w:szCs w:val="20"/>
        </w:rPr>
        <w:t xml:space="preserve"> </w:t>
      </w:r>
    </w:p>
    <w:p w14:paraId="0398F7CA"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30.</w:t>
      </w:r>
      <w:r w:rsidRPr="00C10BBC">
        <w:rPr>
          <w:rFonts w:ascii="Calibri" w:eastAsia="Times New Roman" w:hAnsi="Calibri" w:cstheme="minorHAnsi"/>
          <w:spacing w:val="-2"/>
          <w:sz w:val="20"/>
          <w:szCs w:val="20"/>
        </w:rPr>
        <w:tab/>
      </w:r>
      <w:bookmarkStart w:id="63" w:name="b30"/>
      <w:bookmarkStart w:id="64" w:name="idm1172493472"/>
      <w:bookmarkEnd w:id="63"/>
      <w:bookmarkEnd w:id="64"/>
      <w:r w:rsidRPr="00C10BBC">
        <w:rPr>
          <w:rFonts w:ascii="Calibri" w:eastAsia="Times New Roman" w:hAnsi="Calibri" w:cstheme="minorHAnsi"/>
          <w:spacing w:val="-2"/>
          <w:sz w:val="20"/>
          <w:szCs w:val="20"/>
        </w:rPr>
        <w:t xml:space="preserve">Yang L, Yang F, Zhao H, Wang M, Zhang Y. Circular RNA circCHFR Facilitates the Proliferation and Migration of Vascular Smooth Muscle via miR-370/FOXO1/Cyclin D1 Pathway. Mol Ther Nucleic Acids. 2019; 16:434-41. </w:t>
      </w:r>
    </w:p>
    <w:p w14:paraId="1E669FDB"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65" w:tgtFrame="_blank" w:history="1">
        <w:r w:rsidRPr="00C10BBC">
          <w:rPr>
            <w:rFonts w:ascii="Calibri" w:eastAsia="Times New Roman" w:hAnsi="Calibri" w:cstheme="minorHAnsi"/>
            <w:color w:val="0000FF"/>
            <w:spacing w:val="-2"/>
            <w:sz w:val="20"/>
            <w:szCs w:val="20"/>
            <w:u w:val="single"/>
          </w:rPr>
          <w:t>https://doi.org/10.1016/j.omtn.2019.02.028</w:t>
        </w:r>
      </w:hyperlink>
      <w:r w:rsidRPr="00C10BBC">
        <w:rPr>
          <w:rFonts w:ascii="Calibri" w:eastAsia="Times New Roman" w:hAnsi="Calibri" w:cstheme="minorHAnsi"/>
          <w:spacing w:val="-2"/>
          <w:sz w:val="20"/>
          <w:szCs w:val="20"/>
        </w:rPr>
        <w:t xml:space="preserve"> </w:t>
      </w:r>
    </w:p>
    <w:p w14:paraId="620F531F"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66"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31048182</w:t>
        </w:r>
      </w:hyperlink>
      <w:r w:rsidRPr="00C10BBC">
        <w:rPr>
          <w:rFonts w:ascii="Calibri" w:eastAsia="Times New Roman" w:hAnsi="Calibri" w:cstheme="minorHAnsi"/>
          <w:spacing w:val="-2"/>
          <w:sz w:val="20"/>
          <w:szCs w:val="20"/>
        </w:rPr>
        <w:t xml:space="preserve"> </w:t>
      </w:r>
    </w:p>
    <w:p w14:paraId="00F4BFCE"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31.</w:t>
      </w:r>
      <w:r w:rsidRPr="00C10BBC">
        <w:rPr>
          <w:rFonts w:ascii="Calibri" w:eastAsia="Times New Roman" w:hAnsi="Calibri" w:cstheme="minorHAnsi"/>
          <w:spacing w:val="-2"/>
          <w:sz w:val="20"/>
          <w:szCs w:val="20"/>
        </w:rPr>
        <w:tab/>
      </w:r>
      <w:bookmarkStart w:id="65" w:name="b31"/>
      <w:bookmarkStart w:id="66" w:name="idm1137170160"/>
      <w:bookmarkEnd w:id="65"/>
      <w:bookmarkEnd w:id="66"/>
      <w:r w:rsidRPr="00C10BBC">
        <w:rPr>
          <w:rFonts w:ascii="Calibri" w:eastAsia="Times New Roman" w:hAnsi="Calibri" w:cstheme="minorHAnsi"/>
          <w:spacing w:val="-2"/>
          <w:sz w:val="20"/>
          <w:szCs w:val="20"/>
        </w:rPr>
        <w:t xml:space="preserve">Li TP, Sun SW, Xiong GZ, Qiu F, Yang DM, Sun SY, Xie XJ, Liao DF, Chen JX, Tuo QH. Direct Interaction of Daxx and Androgen Receptor Is Required for Their Regulatory Activity in Cholesterol Biosynthesis. Pharmacology. 2020 [Epub ahead of print]. </w:t>
      </w:r>
    </w:p>
    <w:p w14:paraId="486EF8C2"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67" w:tgtFrame="_blank" w:history="1">
        <w:r w:rsidRPr="00C10BBC">
          <w:rPr>
            <w:rFonts w:ascii="Calibri" w:eastAsia="Times New Roman" w:hAnsi="Calibri" w:cstheme="minorHAnsi"/>
            <w:color w:val="0000FF"/>
            <w:spacing w:val="-2"/>
            <w:sz w:val="20"/>
            <w:szCs w:val="20"/>
            <w:u w:val="single"/>
          </w:rPr>
          <w:t>https://doi.org/10.1159/000506488</w:t>
        </w:r>
      </w:hyperlink>
      <w:r w:rsidRPr="00C10BBC">
        <w:rPr>
          <w:rFonts w:ascii="Calibri" w:eastAsia="Times New Roman" w:hAnsi="Calibri" w:cstheme="minorHAnsi"/>
          <w:spacing w:val="-2"/>
          <w:sz w:val="20"/>
          <w:szCs w:val="20"/>
        </w:rPr>
        <w:t xml:space="preserve"> </w:t>
      </w:r>
    </w:p>
    <w:p w14:paraId="644A09C9"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68"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32694250</w:t>
        </w:r>
      </w:hyperlink>
    </w:p>
    <w:p w14:paraId="07664B20"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32.</w:t>
      </w:r>
      <w:r w:rsidRPr="00C10BBC">
        <w:rPr>
          <w:rFonts w:ascii="Calibri" w:eastAsia="Times New Roman" w:hAnsi="Calibri" w:cstheme="minorHAnsi"/>
          <w:spacing w:val="-2"/>
          <w:sz w:val="20"/>
          <w:szCs w:val="20"/>
        </w:rPr>
        <w:tab/>
      </w:r>
      <w:bookmarkStart w:id="67" w:name="b32"/>
      <w:bookmarkStart w:id="68" w:name="idm1168311792"/>
      <w:bookmarkEnd w:id="67"/>
      <w:bookmarkEnd w:id="68"/>
      <w:r w:rsidRPr="00C10BBC">
        <w:rPr>
          <w:rFonts w:ascii="Calibri" w:eastAsia="Times New Roman" w:hAnsi="Calibri" w:cstheme="minorHAnsi"/>
          <w:spacing w:val="-2"/>
          <w:sz w:val="20"/>
          <w:szCs w:val="20"/>
        </w:rPr>
        <w:t xml:space="preserve">Harada N, Ito K, Hosoya T, Mimura J, Maruyama A, Noguchi N, Yagami K, Morito N, Takahashi S, Maher JM, Yamamoto M, Itoh K. Nrf2 in bone marrow-derived cells positively contributes to the advanced stage of atherosclerotic plaque formation. Free Radic Biol Med. 2012; 53:2256-62. </w:t>
      </w:r>
    </w:p>
    <w:p w14:paraId="7A5CBBB3"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69" w:tgtFrame="_blank" w:history="1">
        <w:r w:rsidRPr="00C10BBC">
          <w:rPr>
            <w:rFonts w:ascii="Calibri" w:eastAsia="Times New Roman" w:hAnsi="Calibri" w:cstheme="minorHAnsi"/>
            <w:color w:val="0000FF"/>
            <w:spacing w:val="-2"/>
            <w:sz w:val="20"/>
            <w:szCs w:val="20"/>
            <w:u w:val="single"/>
          </w:rPr>
          <w:t>https://doi.org/10.1016/j.freeradbiomed.2012.10.001</w:t>
        </w:r>
      </w:hyperlink>
      <w:r w:rsidRPr="00C10BBC">
        <w:rPr>
          <w:rFonts w:ascii="Calibri" w:eastAsia="Times New Roman" w:hAnsi="Calibri" w:cstheme="minorHAnsi"/>
          <w:spacing w:val="-2"/>
          <w:sz w:val="20"/>
          <w:szCs w:val="20"/>
        </w:rPr>
        <w:t xml:space="preserve"> </w:t>
      </w:r>
    </w:p>
    <w:p w14:paraId="5299C141"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70"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23051009</w:t>
        </w:r>
      </w:hyperlink>
      <w:r w:rsidRPr="00C10BBC">
        <w:rPr>
          <w:rFonts w:ascii="Calibri" w:eastAsia="Times New Roman" w:hAnsi="Calibri" w:cstheme="minorHAnsi"/>
          <w:spacing w:val="-2"/>
          <w:sz w:val="20"/>
          <w:szCs w:val="20"/>
        </w:rPr>
        <w:t xml:space="preserve"> </w:t>
      </w:r>
    </w:p>
    <w:p w14:paraId="6F97C4C9"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33.</w:t>
      </w:r>
      <w:r w:rsidRPr="00C10BBC">
        <w:rPr>
          <w:rFonts w:ascii="Calibri" w:eastAsia="Times New Roman" w:hAnsi="Calibri" w:cstheme="minorHAnsi"/>
          <w:spacing w:val="-2"/>
          <w:sz w:val="20"/>
          <w:szCs w:val="20"/>
        </w:rPr>
        <w:tab/>
      </w:r>
      <w:bookmarkStart w:id="69" w:name="b33"/>
      <w:bookmarkStart w:id="70" w:name="idm1005540256"/>
      <w:bookmarkEnd w:id="69"/>
      <w:bookmarkEnd w:id="70"/>
      <w:r w:rsidRPr="00C10BBC">
        <w:rPr>
          <w:rFonts w:ascii="Calibri" w:eastAsia="Times New Roman" w:hAnsi="Calibri" w:cstheme="minorHAnsi"/>
          <w:spacing w:val="-2"/>
          <w:sz w:val="20"/>
          <w:szCs w:val="20"/>
        </w:rPr>
        <w:t xml:space="preserve">Liu Y, Zhong Y, Chen H, Wang D, Wang M, Ou JS, Xia M. Retinol-Binding Protein-Dependent Cholesterol Uptake Regulates Macrophage Foam Cell Formation and Promotes Atherosclerosis. Circulation. 2017; 135:1339-54. </w:t>
      </w:r>
    </w:p>
    <w:p w14:paraId="2C653B9F"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71" w:tgtFrame="_blank" w:history="1">
        <w:r w:rsidRPr="00C10BBC">
          <w:rPr>
            <w:rFonts w:ascii="Calibri" w:eastAsia="Times New Roman" w:hAnsi="Calibri" w:cstheme="minorHAnsi"/>
            <w:color w:val="0000FF"/>
            <w:spacing w:val="-2"/>
            <w:sz w:val="20"/>
            <w:szCs w:val="20"/>
            <w:u w:val="single"/>
          </w:rPr>
          <w:t>https://doi.org/10.1161/CIRCULATIONAHA.116.024503</w:t>
        </w:r>
      </w:hyperlink>
      <w:r w:rsidRPr="00C10BBC">
        <w:rPr>
          <w:rFonts w:ascii="Calibri" w:eastAsia="Times New Roman" w:hAnsi="Calibri" w:cstheme="minorHAnsi"/>
          <w:spacing w:val="-2"/>
          <w:sz w:val="20"/>
          <w:szCs w:val="20"/>
        </w:rPr>
        <w:t xml:space="preserve"> </w:t>
      </w:r>
    </w:p>
    <w:p w14:paraId="42AD0C1E"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72"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28122883</w:t>
        </w:r>
      </w:hyperlink>
      <w:r w:rsidRPr="00C10BBC">
        <w:rPr>
          <w:rFonts w:ascii="Calibri" w:eastAsia="Times New Roman" w:hAnsi="Calibri" w:cstheme="minorHAnsi"/>
          <w:spacing w:val="-2"/>
          <w:sz w:val="20"/>
          <w:szCs w:val="20"/>
        </w:rPr>
        <w:t xml:space="preserve"> </w:t>
      </w:r>
    </w:p>
    <w:p w14:paraId="03B6AE13"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34.</w:t>
      </w:r>
      <w:r w:rsidRPr="00C10BBC">
        <w:rPr>
          <w:rFonts w:ascii="Calibri" w:eastAsia="Times New Roman" w:hAnsi="Calibri" w:cstheme="minorHAnsi"/>
          <w:spacing w:val="-2"/>
          <w:sz w:val="20"/>
          <w:szCs w:val="20"/>
        </w:rPr>
        <w:tab/>
      </w:r>
      <w:bookmarkStart w:id="71" w:name="b34"/>
      <w:bookmarkStart w:id="72" w:name="idm1172156544"/>
      <w:bookmarkEnd w:id="71"/>
      <w:bookmarkEnd w:id="72"/>
      <w:r w:rsidRPr="00C10BBC">
        <w:rPr>
          <w:rFonts w:ascii="Calibri" w:eastAsia="Times New Roman" w:hAnsi="Calibri" w:cstheme="minorHAnsi"/>
          <w:spacing w:val="-2"/>
          <w:sz w:val="20"/>
          <w:szCs w:val="20"/>
        </w:rPr>
        <w:t xml:space="preserve">Shewale SV, Boudyguina E, Zhu X, Shen L, Hutchins PM, Barkley RM, Murphy RC, Parks JS. Botanical oils enriched in n-6 and n-3 FADS2 products are equally effective in preventing atherosclerosis and fatty liver. J Lipid Res. 2015; 56:1191-205. </w:t>
      </w:r>
    </w:p>
    <w:p w14:paraId="1240B3D8"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73" w:tgtFrame="_blank" w:history="1">
        <w:r w:rsidRPr="00C10BBC">
          <w:rPr>
            <w:rFonts w:ascii="Calibri" w:eastAsia="Times New Roman" w:hAnsi="Calibri" w:cstheme="minorHAnsi"/>
            <w:color w:val="0000FF"/>
            <w:spacing w:val="-2"/>
            <w:sz w:val="20"/>
            <w:szCs w:val="20"/>
            <w:u w:val="single"/>
          </w:rPr>
          <w:t>https://doi.org/10.1194/jlr.M059170</w:t>
        </w:r>
      </w:hyperlink>
      <w:r w:rsidRPr="00C10BBC">
        <w:rPr>
          <w:rFonts w:ascii="Calibri" w:eastAsia="Times New Roman" w:hAnsi="Calibri" w:cstheme="minorHAnsi"/>
          <w:spacing w:val="-2"/>
          <w:sz w:val="20"/>
          <w:szCs w:val="20"/>
        </w:rPr>
        <w:t xml:space="preserve"> </w:t>
      </w:r>
    </w:p>
    <w:p w14:paraId="57402E00"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74"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25921305</w:t>
        </w:r>
      </w:hyperlink>
      <w:r w:rsidRPr="00C10BBC">
        <w:rPr>
          <w:rFonts w:ascii="Calibri" w:eastAsia="Times New Roman" w:hAnsi="Calibri" w:cstheme="minorHAnsi"/>
          <w:spacing w:val="-2"/>
          <w:sz w:val="20"/>
          <w:szCs w:val="20"/>
        </w:rPr>
        <w:t xml:space="preserve"> </w:t>
      </w:r>
    </w:p>
    <w:p w14:paraId="5431893F"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35.</w:t>
      </w:r>
      <w:r w:rsidRPr="00C10BBC">
        <w:rPr>
          <w:rFonts w:ascii="Calibri" w:eastAsia="Times New Roman" w:hAnsi="Calibri" w:cstheme="minorHAnsi"/>
          <w:spacing w:val="-2"/>
          <w:sz w:val="20"/>
          <w:szCs w:val="20"/>
        </w:rPr>
        <w:tab/>
      </w:r>
      <w:bookmarkStart w:id="73" w:name="b35"/>
      <w:bookmarkStart w:id="74" w:name="idm974333344"/>
      <w:bookmarkEnd w:id="73"/>
      <w:bookmarkEnd w:id="74"/>
      <w:r w:rsidRPr="00C10BBC">
        <w:rPr>
          <w:rFonts w:ascii="Calibri" w:eastAsia="Times New Roman" w:hAnsi="Calibri" w:cstheme="minorHAnsi"/>
          <w:spacing w:val="-2"/>
          <w:sz w:val="20"/>
          <w:szCs w:val="20"/>
        </w:rPr>
        <w:t xml:space="preserve">Gopoju R, Panangipalli S, Kotamraju S. Metformin treatment prevents SREBP2-mediated cholesterol uptake and improves lipid homeostasis during oxidative stress-induced atherosclerosis. Free Radic Biol Med. 2018; 118:85-97. </w:t>
      </w:r>
    </w:p>
    <w:p w14:paraId="0B6B0829"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75" w:tgtFrame="_blank" w:history="1">
        <w:r w:rsidRPr="00C10BBC">
          <w:rPr>
            <w:rFonts w:ascii="Calibri" w:eastAsia="Times New Roman" w:hAnsi="Calibri" w:cstheme="minorHAnsi"/>
            <w:color w:val="0000FF"/>
            <w:spacing w:val="-2"/>
            <w:sz w:val="20"/>
            <w:szCs w:val="20"/>
            <w:u w:val="single"/>
          </w:rPr>
          <w:t>https://doi.org/10.1016/j.freeradbiomed.2018.02.031</w:t>
        </w:r>
      </w:hyperlink>
      <w:r w:rsidRPr="00C10BBC">
        <w:rPr>
          <w:rFonts w:ascii="Calibri" w:eastAsia="Times New Roman" w:hAnsi="Calibri" w:cstheme="minorHAnsi"/>
          <w:spacing w:val="-2"/>
          <w:sz w:val="20"/>
          <w:szCs w:val="20"/>
        </w:rPr>
        <w:t xml:space="preserve"> </w:t>
      </w:r>
    </w:p>
    <w:p w14:paraId="2424D14E"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76"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29499335</w:t>
        </w:r>
      </w:hyperlink>
      <w:r w:rsidRPr="00C10BBC">
        <w:rPr>
          <w:rFonts w:ascii="Calibri" w:eastAsia="Times New Roman" w:hAnsi="Calibri" w:cstheme="minorHAnsi"/>
          <w:spacing w:val="-2"/>
          <w:sz w:val="20"/>
          <w:szCs w:val="20"/>
        </w:rPr>
        <w:t xml:space="preserve"> </w:t>
      </w:r>
    </w:p>
    <w:p w14:paraId="337E70F5"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36.</w:t>
      </w:r>
      <w:r w:rsidRPr="00C10BBC">
        <w:rPr>
          <w:rFonts w:ascii="Calibri" w:eastAsia="Times New Roman" w:hAnsi="Calibri" w:cstheme="minorHAnsi"/>
          <w:spacing w:val="-2"/>
          <w:sz w:val="20"/>
          <w:szCs w:val="20"/>
        </w:rPr>
        <w:tab/>
      </w:r>
      <w:bookmarkStart w:id="75" w:name="b36"/>
      <w:bookmarkStart w:id="76" w:name="idm1008991392"/>
      <w:bookmarkEnd w:id="75"/>
      <w:bookmarkEnd w:id="76"/>
      <w:r w:rsidRPr="00C10BBC">
        <w:rPr>
          <w:rFonts w:ascii="Calibri" w:eastAsia="Times New Roman" w:hAnsi="Calibri" w:cstheme="minorHAnsi"/>
          <w:spacing w:val="-2"/>
          <w:sz w:val="20"/>
          <w:szCs w:val="20"/>
        </w:rPr>
        <w:t xml:space="preserve">Ahrens I, Domeij H, Eisenhardt SU, Topcic D, Albrecht M, Leitner E, Viitaniemi K, Jowett JB, Lappas M, Bode C, Haviv I, Peter K. Opposing effects of monomeric and pentameric C-reactive protein on endothelial progenitor cells. Basic Res Cardiol. 2011; 106:879-95. </w:t>
      </w:r>
    </w:p>
    <w:p w14:paraId="14C035C2"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77" w:tgtFrame="_blank" w:history="1">
        <w:r w:rsidRPr="00C10BBC">
          <w:rPr>
            <w:rFonts w:ascii="Calibri" w:eastAsia="Times New Roman" w:hAnsi="Calibri" w:cstheme="minorHAnsi"/>
            <w:color w:val="0000FF"/>
            <w:spacing w:val="-2"/>
            <w:sz w:val="20"/>
            <w:szCs w:val="20"/>
            <w:u w:val="single"/>
          </w:rPr>
          <w:t>https://doi.org/10.1007/s00395-011-0191-y</w:t>
        </w:r>
      </w:hyperlink>
      <w:r w:rsidRPr="00C10BBC">
        <w:rPr>
          <w:rFonts w:ascii="Calibri" w:eastAsia="Times New Roman" w:hAnsi="Calibri" w:cstheme="minorHAnsi"/>
          <w:spacing w:val="-2"/>
          <w:sz w:val="20"/>
          <w:szCs w:val="20"/>
        </w:rPr>
        <w:t xml:space="preserve"> </w:t>
      </w:r>
    </w:p>
    <w:p w14:paraId="2CDB0348"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78"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21562922</w:t>
        </w:r>
      </w:hyperlink>
      <w:r w:rsidRPr="00C10BBC">
        <w:rPr>
          <w:rFonts w:ascii="Calibri" w:eastAsia="Times New Roman" w:hAnsi="Calibri" w:cstheme="minorHAnsi"/>
          <w:spacing w:val="-2"/>
          <w:sz w:val="20"/>
          <w:szCs w:val="20"/>
        </w:rPr>
        <w:t xml:space="preserve"> </w:t>
      </w:r>
    </w:p>
    <w:p w14:paraId="6919B6A6"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37.</w:t>
      </w:r>
      <w:r w:rsidRPr="00C10BBC">
        <w:rPr>
          <w:rFonts w:ascii="Calibri" w:eastAsia="Times New Roman" w:hAnsi="Calibri" w:cstheme="minorHAnsi"/>
          <w:spacing w:val="-2"/>
          <w:sz w:val="20"/>
          <w:szCs w:val="20"/>
        </w:rPr>
        <w:tab/>
      </w:r>
      <w:bookmarkStart w:id="77" w:name="b37"/>
      <w:bookmarkStart w:id="78" w:name="idm1169858768"/>
      <w:bookmarkEnd w:id="77"/>
      <w:bookmarkEnd w:id="78"/>
      <w:r w:rsidRPr="00C10BBC">
        <w:rPr>
          <w:rFonts w:ascii="Calibri" w:eastAsia="Times New Roman" w:hAnsi="Calibri" w:cstheme="minorHAnsi"/>
          <w:spacing w:val="-2"/>
          <w:sz w:val="20"/>
          <w:szCs w:val="20"/>
        </w:rPr>
        <w:t xml:space="preserve">Saliba-Gustafsson P, Pedrelli M, Gertow K, Werngren O, Janas V, Pourteymour S, Baldassarre D, Tremoli E, Veglia F, Rauramaa R, Smit AJ, Giral P, Kurl S, et al, and IMPROVE Study Group. Subclinical atherosclerosis and its progression are modulated by PLIN2 through a feed-forward loop between LXR and autophagy. J Intern Med. 2019; 286:660-75. </w:t>
      </w:r>
    </w:p>
    <w:p w14:paraId="1A80E1D0"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79" w:tgtFrame="_blank" w:history="1">
        <w:r w:rsidRPr="00C10BBC">
          <w:rPr>
            <w:rFonts w:ascii="Calibri" w:eastAsia="Times New Roman" w:hAnsi="Calibri" w:cstheme="minorHAnsi"/>
            <w:color w:val="0000FF"/>
            <w:spacing w:val="-2"/>
            <w:sz w:val="20"/>
            <w:szCs w:val="20"/>
            <w:u w:val="single"/>
          </w:rPr>
          <w:t>https://doi.org/10.1111/joim.12951</w:t>
        </w:r>
      </w:hyperlink>
      <w:r w:rsidRPr="00C10BBC">
        <w:rPr>
          <w:rFonts w:ascii="Calibri" w:eastAsia="Times New Roman" w:hAnsi="Calibri" w:cstheme="minorHAnsi"/>
          <w:spacing w:val="-2"/>
          <w:sz w:val="20"/>
          <w:szCs w:val="20"/>
        </w:rPr>
        <w:t xml:space="preserve"> </w:t>
      </w:r>
    </w:p>
    <w:p w14:paraId="5D63A46E"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80"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31251843</w:t>
        </w:r>
      </w:hyperlink>
      <w:r w:rsidRPr="00C10BBC">
        <w:rPr>
          <w:rFonts w:ascii="Calibri" w:eastAsia="Times New Roman" w:hAnsi="Calibri" w:cstheme="minorHAnsi"/>
          <w:spacing w:val="-2"/>
          <w:sz w:val="20"/>
          <w:szCs w:val="20"/>
        </w:rPr>
        <w:t xml:space="preserve"> </w:t>
      </w:r>
    </w:p>
    <w:p w14:paraId="52A7EED2"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38.</w:t>
      </w:r>
      <w:r w:rsidRPr="00C10BBC">
        <w:rPr>
          <w:rFonts w:ascii="Calibri" w:eastAsia="Times New Roman" w:hAnsi="Calibri" w:cstheme="minorHAnsi"/>
          <w:spacing w:val="-2"/>
          <w:sz w:val="20"/>
          <w:szCs w:val="20"/>
        </w:rPr>
        <w:tab/>
      </w:r>
      <w:bookmarkStart w:id="79" w:name="b38"/>
      <w:bookmarkStart w:id="80" w:name="idm1159236080"/>
      <w:bookmarkEnd w:id="79"/>
      <w:bookmarkEnd w:id="80"/>
      <w:r w:rsidRPr="00C10BBC">
        <w:rPr>
          <w:rFonts w:ascii="Calibri" w:eastAsia="Times New Roman" w:hAnsi="Calibri" w:cstheme="minorHAnsi"/>
          <w:spacing w:val="-2"/>
          <w:sz w:val="20"/>
          <w:szCs w:val="20"/>
        </w:rPr>
        <w:t xml:space="preserve">Douglas G, Bendall JK, Crabtree MJ, Tatham AL, Carter EE, Hale AB, Channon KM. Endothelial-specific Nox2 overexpression increases vascular superoxide and macrophage recruitment in ApoE?/? mice. Cardiovasc Res. 2012; 94:20-29. </w:t>
      </w:r>
    </w:p>
    <w:p w14:paraId="0F81C67C"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81" w:tgtFrame="_blank" w:history="1">
        <w:r w:rsidRPr="00C10BBC">
          <w:rPr>
            <w:rFonts w:ascii="Calibri" w:eastAsia="Times New Roman" w:hAnsi="Calibri" w:cstheme="minorHAnsi"/>
            <w:color w:val="0000FF"/>
            <w:spacing w:val="-2"/>
            <w:sz w:val="20"/>
            <w:szCs w:val="20"/>
            <w:u w:val="single"/>
          </w:rPr>
          <w:t>https://doi.org/10.1093/cvr/cvs026</w:t>
        </w:r>
      </w:hyperlink>
      <w:r w:rsidRPr="00C10BBC">
        <w:rPr>
          <w:rFonts w:ascii="Calibri" w:eastAsia="Times New Roman" w:hAnsi="Calibri" w:cstheme="minorHAnsi"/>
          <w:spacing w:val="-2"/>
          <w:sz w:val="20"/>
          <w:szCs w:val="20"/>
        </w:rPr>
        <w:t xml:space="preserve"> </w:t>
      </w:r>
    </w:p>
    <w:p w14:paraId="00A82E82"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82"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22287576</w:t>
        </w:r>
      </w:hyperlink>
      <w:r w:rsidRPr="00C10BBC">
        <w:rPr>
          <w:rFonts w:ascii="Calibri" w:eastAsia="Times New Roman" w:hAnsi="Calibri" w:cstheme="minorHAnsi"/>
          <w:spacing w:val="-2"/>
          <w:sz w:val="20"/>
          <w:szCs w:val="20"/>
        </w:rPr>
        <w:t xml:space="preserve"> </w:t>
      </w:r>
    </w:p>
    <w:p w14:paraId="4F0CF230"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39.</w:t>
      </w:r>
      <w:r w:rsidRPr="00C10BBC">
        <w:rPr>
          <w:rFonts w:ascii="Calibri" w:eastAsia="Times New Roman" w:hAnsi="Calibri" w:cstheme="minorHAnsi"/>
          <w:spacing w:val="-2"/>
          <w:sz w:val="20"/>
          <w:szCs w:val="20"/>
        </w:rPr>
        <w:tab/>
      </w:r>
      <w:bookmarkStart w:id="81" w:name="b39"/>
      <w:bookmarkStart w:id="82" w:name="idm1165100832"/>
      <w:bookmarkEnd w:id="81"/>
      <w:bookmarkEnd w:id="82"/>
      <w:r w:rsidRPr="00C10BBC">
        <w:rPr>
          <w:rFonts w:ascii="Calibri" w:eastAsia="Times New Roman" w:hAnsi="Calibri" w:cstheme="minorHAnsi"/>
          <w:spacing w:val="-2"/>
          <w:sz w:val="20"/>
          <w:szCs w:val="20"/>
        </w:rPr>
        <w:t xml:space="preserve">Xia F, Li R, Wang C, Yang S, Tian L, Dong H, Pei C, He S, Jiang P, Cheng H, Fang S, Li H, Xu H. IRGM1 regulates oxidized LDL uptake by macrophage via actin-dependent receptor internalization during atherosclerosis. Sci Rep. 2013; 3:1867. </w:t>
      </w:r>
    </w:p>
    <w:p w14:paraId="3EB407C9"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83" w:tgtFrame="_blank" w:history="1">
        <w:r w:rsidRPr="00C10BBC">
          <w:rPr>
            <w:rFonts w:ascii="Calibri" w:eastAsia="Times New Roman" w:hAnsi="Calibri" w:cstheme="minorHAnsi"/>
            <w:color w:val="0000FF"/>
            <w:spacing w:val="-2"/>
            <w:sz w:val="20"/>
            <w:szCs w:val="20"/>
            <w:u w:val="single"/>
          </w:rPr>
          <w:t>https://doi.org/10.1038/srep01867</w:t>
        </w:r>
      </w:hyperlink>
      <w:r w:rsidRPr="00C10BBC">
        <w:rPr>
          <w:rFonts w:ascii="Calibri" w:eastAsia="Times New Roman" w:hAnsi="Calibri" w:cstheme="minorHAnsi"/>
          <w:spacing w:val="-2"/>
          <w:sz w:val="20"/>
          <w:szCs w:val="20"/>
        </w:rPr>
        <w:t xml:space="preserve"> </w:t>
      </w:r>
    </w:p>
    <w:p w14:paraId="1B9B81FD"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84"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23689639</w:t>
        </w:r>
      </w:hyperlink>
      <w:r w:rsidRPr="00C10BBC">
        <w:rPr>
          <w:rFonts w:ascii="Calibri" w:eastAsia="Times New Roman" w:hAnsi="Calibri" w:cstheme="minorHAnsi"/>
          <w:spacing w:val="-2"/>
          <w:sz w:val="20"/>
          <w:szCs w:val="20"/>
        </w:rPr>
        <w:t xml:space="preserve"> </w:t>
      </w:r>
    </w:p>
    <w:p w14:paraId="37D683D4"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40.</w:t>
      </w:r>
      <w:r w:rsidRPr="00C10BBC">
        <w:rPr>
          <w:rFonts w:ascii="Calibri" w:eastAsia="Times New Roman" w:hAnsi="Calibri" w:cstheme="minorHAnsi"/>
          <w:spacing w:val="-2"/>
          <w:sz w:val="20"/>
          <w:szCs w:val="20"/>
        </w:rPr>
        <w:tab/>
      </w:r>
      <w:bookmarkStart w:id="83" w:name="b40"/>
      <w:bookmarkStart w:id="84" w:name="idm1169674192"/>
      <w:bookmarkEnd w:id="83"/>
      <w:bookmarkEnd w:id="84"/>
      <w:r w:rsidRPr="00C10BBC">
        <w:rPr>
          <w:rFonts w:ascii="Calibri" w:eastAsia="Times New Roman" w:hAnsi="Calibri" w:cstheme="minorHAnsi"/>
          <w:spacing w:val="-2"/>
          <w:sz w:val="20"/>
          <w:szCs w:val="20"/>
        </w:rPr>
        <w:t xml:space="preserve">Karunagaran S, Kavitha R, Vadivelu M, Lee KW, Meganathan C. Insight Mechanism of the Selective Lanosterol Synthase Inhibitor: Molecular Modeling, Docking and Density Functional Theory Approaches. Curr Comput Aided Drug Des. 2017; 13:275-93. </w:t>
      </w:r>
    </w:p>
    <w:p w14:paraId="3B8C2958"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85" w:tgtFrame="_blank" w:history="1">
        <w:r w:rsidRPr="00C10BBC">
          <w:rPr>
            <w:rFonts w:ascii="Calibri" w:eastAsia="Times New Roman" w:hAnsi="Calibri" w:cstheme="minorHAnsi"/>
            <w:color w:val="0000FF"/>
            <w:spacing w:val="-2"/>
            <w:sz w:val="20"/>
            <w:szCs w:val="20"/>
            <w:u w:val="single"/>
          </w:rPr>
          <w:t>https://doi.org/10.2174/1573409913666170426153509</w:t>
        </w:r>
      </w:hyperlink>
      <w:r w:rsidRPr="00C10BBC">
        <w:rPr>
          <w:rFonts w:ascii="Calibri" w:eastAsia="Times New Roman" w:hAnsi="Calibri" w:cstheme="minorHAnsi"/>
          <w:spacing w:val="-2"/>
          <w:sz w:val="20"/>
          <w:szCs w:val="20"/>
        </w:rPr>
        <w:t xml:space="preserve"> </w:t>
      </w:r>
    </w:p>
    <w:p w14:paraId="0B1AD9D5"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86"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28462697</w:t>
        </w:r>
      </w:hyperlink>
      <w:r w:rsidRPr="00C10BBC">
        <w:rPr>
          <w:rFonts w:ascii="Calibri" w:eastAsia="Times New Roman" w:hAnsi="Calibri" w:cstheme="minorHAnsi"/>
          <w:spacing w:val="-2"/>
          <w:sz w:val="20"/>
          <w:szCs w:val="20"/>
        </w:rPr>
        <w:t xml:space="preserve"> </w:t>
      </w:r>
    </w:p>
    <w:p w14:paraId="20237116"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41.</w:t>
      </w:r>
      <w:r w:rsidRPr="00C10BBC">
        <w:rPr>
          <w:rFonts w:ascii="Calibri" w:eastAsia="Times New Roman" w:hAnsi="Calibri" w:cstheme="minorHAnsi"/>
          <w:spacing w:val="-2"/>
          <w:sz w:val="20"/>
          <w:szCs w:val="20"/>
        </w:rPr>
        <w:tab/>
      </w:r>
      <w:bookmarkStart w:id="85" w:name="b41"/>
      <w:bookmarkStart w:id="86" w:name="idm1155543472"/>
      <w:bookmarkEnd w:id="85"/>
      <w:bookmarkEnd w:id="86"/>
      <w:r w:rsidRPr="00C10BBC">
        <w:rPr>
          <w:rFonts w:ascii="Calibri" w:eastAsia="Times New Roman" w:hAnsi="Calibri" w:cstheme="minorHAnsi"/>
          <w:spacing w:val="-2"/>
          <w:sz w:val="20"/>
          <w:szCs w:val="20"/>
        </w:rPr>
        <w:t xml:space="preserve">Xu Z, Le K, Moghadasian MH. Long-term phytosterol treatment alters gene expression in the liver of apo E-deficient mice. J Nutr Biochem. 2008; 19:545-54. </w:t>
      </w:r>
    </w:p>
    <w:p w14:paraId="0AB60F05"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87" w:tgtFrame="_blank" w:history="1">
        <w:r w:rsidRPr="00C10BBC">
          <w:rPr>
            <w:rFonts w:ascii="Calibri" w:eastAsia="Times New Roman" w:hAnsi="Calibri" w:cstheme="minorHAnsi"/>
            <w:color w:val="0000FF"/>
            <w:spacing w:val="-2"/>
            <w:sz w:val="20"/>
            <w:szCs w:val="20"/>
            <w:u w:val="single"/>
          </w:rPr>
          <w:t>https://doi.org/10.1016/j.jnutbio.2007.06.012</w:t>
        </w:r>
      </w:hyperlink>
      <w:r w:rsidRPr="00C10BBC">
        <w:rPr>
          <w:rFonts w:ascii="Calibri" w:eastAsia="Times New Roman" w:hAnsi="Calibri" w:cstheme="minorHAnsi"/>
          <w:spacing w:val="-2"/>
          <w:sz w:val="20"/>
          <w:szCs w:val="20"/>
        </w:rPr>
        <w:t xml:space="preserve"> </w:t>
      </w:r>
    </w:p>
    <w:p w14:paraId="056AE4DF"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88"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18155511</w:t>
        </w:r>
      </w:hyperlink>
      <w:r w:rsidRPr="00C10BBC">
        <w:rPr>
          <w:rFonts w:ascii="Calibri" w:eastAsia="Times New Roman" w:hAnsi="Calibri" w:cstheme="minorHAnsi"/>
          <w:spacing w:val="-2"/>
          <w:sz w:val="20"/>
          <w:szCs w:val="20"/>
        </w:rPr>
        <w:t xml:space="preserve"> </w:t>
      </w:r>
    </w:p>
    <w:p w14:paraId="70DAFF5F"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42.</w:t>
      </w:r>
      <w:r w:rsidRPr="00C10BBC">
        <w:rPr>
          <w:rFonts w:ascii="Calibri" w:eastAsia="Times New Roman" w:hAnsi="Calibri" w:cstheme="minorHAnsi"/>
          <w:spacing w:val="-2"/>
          <w:sz w:val="20"/>
          <w:szCs w:val="20"/>
        </w:rPr>
        <w:tab/>
      </w:r>
      <w:bookmarkStart w:id="87" w:name="b42"/>
      <w:bookmarkStart w:id="88" w:name="idm1165040080"/>
      <w:bookmarkEnd w:id="87"/>
      <w:bookmarkEnd w:id="88"/>
      <w:r w:rsidRPr="00C10BBC">
        <w:rPr>
          <w:rFonts w:ascii="Calibri" w:eastAsia="Times New Roman" w:hAnsi="Calibri" w:cstheme="minorHAnsi"/>
          <w:spacing w:val="-2"/>
          <w:sz w:val="20"/>
          <w:szCs w:val="20"/>
        </w:rPr>
        <w:t xml:space="preserve">Hong YF, Kim H, Kim HS, Park WJ, Kim JY, Chung DK. Lactobacillus acidophilus K301 Inhibits Atherogenesis via Induction of 24 (S), 25-Epoxycholesterol-Mediated ABCA1 and ABCG1 Production and Cholesterol Efflux in Macrophages. PLoS One. 2016; 11:e0154302. </w:t>
      </w:r>
    </w:p>
    <w:p w14:paraId="1C83E0D7"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89" w:tgtFrame="_blank" w:history="1">
        <w:r w:rsidRPr="00C10BBC">
          <w:rPr>
            <w:rFonts w:ascii="Calibri" w:eastAsia="Times New Roman" w:hAnsi="Calibri" w:cstheme="minorHAnsi"/>
            <w:color w:val="0000FF"/>
            <w:spacing w:val="-2"/>
            <w:sz w:val="20"/>
            <w:szCs w:val="20"/>
            <w:u w:val="single"/>
          </w:rPr>
          <w:t>https://doi.org/10.1371/journal.pone.0154302</w:t>
        </w:r>
      </w:hyperlink>
      <w:r w:rsidRPr="00C10BBC">
        <w:rPr>
          <w:rFonts w:ascii="Calibri" w:eastAsia="Times New Roman" w:hAnsi="Calibri" w:cstheme="minorHAnsi"/>
          <w:spacing w:val="-2"/>
          <w:sz w:val="20"/>
          <w:szCs w:val="20"/>
        </w:rPr>
        <w:t xml:space="preserve"> </w:t>
      </w:r>
    </w:p>
    <w:p w14:paraId="0A555F37"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90"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27120199</w:t>
        </w:r>
      </w:hyperlink>
      <w:r w:rsidRPr="00C10BBC">
        <w:rPr>
          <w:rFonts w:ascii="Calibri" w:eastAsia="Times New Roman" w:hAnsi="Calibri" w:cstheme="minorHAnsi"/>
          <w:spacing w:val="-2"/>
          <w:sz w:val="20"/>
          <w:szCs w:val="20"/>
        </w:rPr>
        <w:t xml:space="preserve"> </w:t>
      </w:r>
    </w:p>
    <w:p w14:paraId="083282EC"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43.</w:t>
      </w:r>
      <w:r w:rsidRPr="00C10BBC">
        <w:rPr>
          <w:rFonts w:ascii="Calibri" w:eastAsia="Times New Roman" w:hAnsi="Calibri" w:cstheme="minorHAnsi"/>
          <w:spacing w:val="-2"/>
          <w:sz w:val="20"/>
          <w:szCs w:val="20"/>
        </w:rPr>
        <w:tab/>
      </w:r>
      <w:bookmarkStart w:id="89" w:name="b43"/>
      <w:bookmarkStart w:id="90" w:name="idm1157811680"/>
      <w:bookmarkEnd w:id="89"/>
      <w:bookmarkEnd w:id="90"/>
      <w:r w:rsidRPr="00C10BBC">
        <w:rPr>
          <w:rFonts w:ascii="Calibri" w:eastAsia="Times New Roman" w:hAnsi="Calibri" w:cstheme="minorHAnsi"/>
          <w:spacing w:val="-2"/>
          <w:sz w:val="20"/>
          <w:szCs w:val="20"/>
        </w:rPr>
        <w:t xml:space="preserve">Koyama S, Ohtani K, Fukuzawa J, Yao N, Fukuda M, Jang SJ, Hasebe N, Kikuchi K, Itabe H, Yoshida I, Suzuki Y, Wakamiya N. The induction of human CL-P1 expression in hypoxia/reoxygenation culture condition and rat CL-P1 after ischemic/reperfusion treatment. Biochim Biophys Acta. 2011; 1810:836-42. </w:t>
      </w:r>
    </w:p>
    <w:p w14:paraId="14D54538"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91" w:tgtFrame="_blank" w:history="1">
        <w:r w:rsidRPr="00C10BBC">
          <w:rPr>
            <w:rFonts w:ascii="Calibri" w:eastAsia="Times New Roman" w:hAnsi="Calibri" w:cstheme="minorHAnsi"/>
            <w:color w:val="0000FF"/>
            <w:spacing w:val="-2"/>
            <w:sz w:val="20"/>
            <w:szCs w:val="20"/>
            <w:u w:val="single"/>
          </w:rPr>
          <w:t>https://doi.org/10.1016/j.bbagen.2011.06.013</w:t>
        </w:r>
      </w:hyperlink>
      <w:r w:rsidRPr="00C10BBC">
        <w:rPr>
          <w:rFonts w:ascii="Calibri" w:eastAsia="Times New Roman" w:hAnsi="Calibri" w:cstheme="minorHAnsi"/>
          <w:spacing w:val="-2"/>
          <w:sz w:val="20"/>
          <w:szCs w:val="20"/>
        </w:rPr>
        <w:t xml:space="preserve"> </w:t>
      </w:r>
    </w:p>
    <w:p w14:paraId="54CD32A2"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92"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21723916</w:t>
        </w:r>
      </w:hyperlink>
      <w:r w:rsidRPr="00C10BBC">
        <w:rPr>
          <w:rFonts w:ascii="Calibri" w:eastAsia="Times New Roman" w:hAnsi="Calibri" w:cstheme="minorHAnsi"/>
          <w:spacing w:val="-2"/>
          <w:sz w:val="20"/>
          <w:szCs w:val="20"/>
        </w:rPr>
        <w:t xml:space="preserve"> </w:t>
      </w:r>
    </w:p>
    <w:p w14:paraId="5F1C6105"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44.</w:t>
      </w:r>
      <w:r w:rsidRPr="00C10BBC">
        <w:rPr>
          <w:rFonts w:ascii="Calibri" w:eastAsia="Times New Roman" w:hAnsi="Calibri" w:cstheme="minorHAnsi"/>
          <w:spacing w:val="-2"/>
          <w:sz w:val="20"/>
          <w:szCs w:val="20"/>
        </w:rPr>
        <w:tab/>
      </w:r>
      <w:bookmarkStart w:id="91" w:name="b44"/>
      <w:bookmarkStart w:id="92" w:name="idm1166860832"/>
      <w:bookmarkEnd w:id="91"/>
      <w:bookmarkEnd w:id="92"/>
      <w:r w:rsidRPr="00C10BBC">
        <w:rPr>
          <w:rFonts w:ascii="Calibri" w:eastAsia="Times New Roman" w:hAnsi="Calibri" w:cstheme="minorHAnsi"/>
          <w:spacing w:val="-2"/>
          <w:sz w:val="20"/>
          <w:szCs w:val="20"/>
        </w:rPr>
        <w:t xml:space="preserve">Walker ME, Matthan NR, Solano-Aguilar G, Jang S, Lakshman S, Molokin A, Faits T, Urban JF Jr, Johnson WE, Lamon-Fava S, Lichtenstein AH. A Western-type dietary pattern and atorvastatin induce epicardial adipose tissue interferon signaling in the Ossabaw pig. J Nutr Biochem. 2019; 67:212-18. </w:t>
      </w:r>
    </w:p>
    <w:p w14:paraId="5EC2D36F"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93" w:tgtFrame="_blank" w:history="1">
        <w:r w:rsidRPr="00C10BBC">
          <w:rPr>
            <w:rFonts w:ascii="Calibri" w:eastAsia="Times New Roman" w:hAnsi="Calibri" w:cstheme="minorHAnsi"/>
            <w:color w:val="0000FF"/>
            <w:spacing w:val="-2"/>
            <w:sz w:val="20"/>
            <w:szCs w:val="20"/>
            <w:u w:val="single"/>
          </w:rPr>
          <w:t>https://doi.org/10.1016/j.jnutbio.2019.02.003</w:t>
        </w:r>
      </w:hyperlink>
      <w:r w:rsidRPr="00C10BBC">
        <w:rPr>
          <w:rFonts w:ascii="Calibri" w:eastAsia="Times New Roman" w:hAnsi="Calibri" w:cstheme="minorHAnsi"/>
          <w:spacing w:val="-2"/>
          <w:sz w:val="20"/>
          <w:szCs w:val="20"/>
        </w:rPr>
        <w:t xml:space="preserve"> </w:t>
      </w:r>
    </w:p>
    <w:p w14:paraId="73362243"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94"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30981985</w:t>
        </w:r>
      </w:hyperlink>
      <w:r w:rsidRPr="00C10BBC">
        <w:rPr>
          <w:rFonts w:ascii="Calibri" w:eastAsia="Times New Roman" w:hAnsi="Calibri" w:cstheme="minorHAnsi"/>
          <w:spacing w:val="-2"/>
          <w:sz w:val="20"/>
          <w:szCs w:val="20"/>
        </w:rPr>
        <w:t xml:space="preserve"> </w:t>
      </w:r>
    </w:p>
    <w:p w14:paraId="7ECD557A"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45.</w:t>
      </w:r>
      <w:r w:rsidRPr="00C10BBC">
        <w:rPr>
          <w:rFonts w:ascii="Calibri" w:eastAsia="Times New Roman" w:hAnsi="Calibri" w:cstheme="minorHAnsi"/>
          <w:spacing w:val="-2"/>
          <w:sz w:val="20"/>
          <w:szCs w:val="20"/>
        </w:rPr>
        <w:tab/>
      </w:r>
      <w:bookmarkStart w:id="93" w:name="b45"/>
      <w:bookmarkStart w:id="94" w:name="idm1163078000"/>
      <w:bookmarkEnd w:id="93"/>
      <w:bookmarkEnd w:id="94"/>
      <w:r w:rsidRPr="00C10BBC">
        <w:rPr>
          <w:rFonts w:ascii="Calibri" w:eastAsia="Times New Roman" w:hAnsi="Calibri" w:cstheme="minorHAnsi"/>
          <w:spacing w:val="-2"/>
          <w:sz w:val="20"/>
          <w:szCs w:val="20"/>
        </w:rPr>
        <w:t>Cheng S, Zhou F, Xu Y, Liu X, Zhang Y, Gu M, Su Z, Zhao D, Zhang L, Jia Y. Geniposide regulates the miR-101/MKP-1/p38 pathway and alleviates atherosclerosis inflammatory injury in ApoE</w:t>
      </w:r>
      <w:r w:rsidRPr="00C10BBC">
        <w:rPr>
          <w:rFonts w:ascii="Calibri" w:eastAsia="Times New Roman" w:hAnsi="Calibri" w:cstheme="minorHAnsi"/>
          <w:spacing w:val="-2"/>
          <w:sz w:val="20"/>
          <w:szCs w:val="20"/>
          <w:vertAlign w:val="superscript"/>
        </w:rPr>
        <w:t>-/-</w:t>
      </w:r>
      <w:r w:rsidRPr="00C10BBC">
        <w:rPr>
          <w:rFonts w:ascii="Calibri" w:eastAsia="Times New Roman" w:hAnsi="Calibri" w:cstheme="minorHAnsi"/>
          <w:spacing w:val="-2"/>
          <w:sz w:val="20"/>
          <w:szCs w:val="20"/>
        </w:rPr>
        <w:t xml:space="preserve"> mice. Immunobiology. 2019; 224:296-306. </w:t>
      </w:r>
    </w:p>
    <w:p w14:paraId="2655342A"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95" w:tgtFrame="_blank" w:history="1">
        <w:r w:rsidRPr="00C10BBC">
          <w:rPr>
            <w:rFonts w:ascii="Calibri" w:eastAsia="Times New Roman" w:hAnsi="Calibri" w:cstheme="minorHAnsi"/>
            <w:color w:val="0000FF"/>
            <w:spacing w:val="-2"/>
            <w:sz w:val="20"/>
            <w:szCs w:val="20"/>
            <w:u w:val="single"/>
          </w:rPr>
          <w:t>https://doi.org/10.1016/j.imbio.2018.12.005</w:t>
        </w:r>
      </w:hyperlink>
      <w:r w:rsidRPr="00C10BBC">
        <w:rPr>
          <w:rFonts w:ascii="Calibri" w:eastAsia="Times New Roman" w:hAnsi="Calibri" w:cstheme="minorHAnsi"/>
          <w:spacing w:val="-2"/>
          <w:sz w:val="20"/>
          <w:szCs w:val="20"/>
        </w:rPr>
        <w:t xml:space="preserve"> </w:t>
      </w:r>
    </w:p>
    <w:p w14:paraId="2DBEF910"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96"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30630636</w:t>
        </w:r>
      </w:hyperlink>
      <w:r w:rsidRPr="00C10BBC">
        <w:rPr>
          <w:rFonts w:ascii="Calibri" w:eastAsia="Times New Roman" w:hAnsi="Calibri" w:cstheme="minorHAnsi"/>
          <w:spacing w:val="-2"/>
          <w:sz w:val="20"/>
          <w:szCs w:val="20"/>
        </w:rPr>
        <w:t xml:space="preserve"> </w:t>
      </w:r>
    </w:p>
    <w:p w14:paraId="1265B16F"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46.</w:t>
      </w:r>
      <w:r w:rsidRPr="00C10BBC">
        <w:rPr>
          <w:rFonts w:ascii="Calibri" w:eastAsia="Times New Roman" w:hAnsi="Calibri" w:cstheme="minorHAnsi"/>
          <w:spacing w:val="-2"/>
          <w:sz w:val="20"/>
          <w:szCs w:val="20"/>
        </w:rPr>
        <w:tab/>
      </w:r>
      <w:bookmarkStart w:id="95" w:name="b46"/>
      <w:bookmarkStart w:id="96" w:name="idm1005520352"/>
      <w:bookmarkEnd w:id="95"/>
      <w:bookmarkEnd w:id="96"/>
      <w:r w:rsidRPr="00C10BBC">
        <w:rPr>
          <w:rFonts w:ascii="Calibri" w:eastAsia="Times New Roman" w:hAnsi="Calibri" w:cstheme="minorHAnsi"/>
          <w:spacing w:val="-2"/>
          <w:sz w:val="20"/>
          <w:szCs w:val="20"/>
        </w:rPr>
        <w:t xml:space="preserve">Hernandez-Vargas P, Ortiz-Munoz G, Lopez-Franco O, Suzuki Y, Gallego-Delgado J, Sanjuan G, Lazaro A, Lopez-Parra V, Ortega L, Egido J, Gomez-Guerrero C. Fcgamma receptor deficiency confers protection against atherosclerosis in apolipoprotein E knockout mice. Circ Res. 2006; 99:1188-96. </w:t>
      </w:r>
    </w:p>
    <w:p w14:paraId="6254A1E6"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97" w:tgtFrame="_blank" w:history="1">
        <w:r w:rsidRPr="00C10BBC">
          <w:rPr>
            <w:rFonts w:ascii="Calibri" w:eastAsia="Times New Roman" w:hAnsi="Calibri" w:cstheme="minorHAnsi"/>
            <w:color w:val="0000FF"/>
            <w:spacing w:val="-2"/>
            <w:sz w:val="20"/>
            <w:szCs w:val="20"/>
            <w:u w:val="single"/>
          </w:rPr>
          <w:t>https://doi.org/10.1161/01.RES.0000250556.07796.6c</w:t>
        </w:r>
      </w:hyperlink>
      <w:r w:rsidRPr="00C10BBC">
        <w:rPr>
          <w:rFonts w:ascii="Calibri" w:eastAsia="Times New Roman" w:hAnsi="Calibri" w:cstheme="minorHAnsi"/>
          <w:spacing w:val="-2"/>
          <w:sz w:val="20"/>
          <w:szCs w:val="20"/>
        </w:rPr>
        <w:t xml:space="preserve"> </w:t>
      </w:r>
    </w:p>
    <w:p w14:paraId="63D3E5B2"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98"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17053192</w:t>
        </w:r>
      </w:hyperlink>
      <w:r w:rsidRPr="00C10BBC">
        <w:rPr>
          <w:rFonts w:ascii="Calibri" w:eastAsia="Times New Roman" w:hAnsi="Calibri" w:cstheme="minorHAnsi"/>
          <w:spacing w:val="-2"/>
          <w:sz w:val="20"/>
          <w:szCs w:val="20"/>
        </w:rPr>
        <w:t xml:space="preserve"> </w:t>
      </w:r>
    </w:p>
    <w:p w14:paraId="531FC224"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47.</w:t>
      </w:r>
      <w:r w:rsidRPr="00C10BBC">
        <w:rPr>
          <w:rFonts w:ascii="Calibri" w:eastAsia="Times New Roman" w:hAnsi="Calibri" w:cstheme="minorHAnsi"/>
          <w:spacing w:val="-2"/>
          <w:sz w:val="20"/>
          <w:szCs w:val="20"/>
        </w:rPr>
        <w:tab/>
      </w:r>
      <w:bookmarkStart w:id="97" w:name="b47"/>
      <w:bookmarkStart w:id="98" w:name="idm1154279168"/>
      <w:bookmarkEnd w:id="97"/>
      <w:bookmarkEnd w:id="98"/>
      <w:r w:rsidRPr="00C10BBC">
        <w:rPr>
          <w:rFonts w:ascii="Calibri" w:eastAsia="Times New Roman" w:hAnsi="Calibri" w:cstheme="minorHAnsi"/>
          <w:spacing w:val="-2"/>
          <w:sz w:val="20"/>
          <w:szCs w:val="20"/>
        </w:rPr>
        <w:t xml:space="preserve">Huang C, Yu XH, Zheng XL, Ou X, Tang CK. Interferon-stimulated gene 15 promotes cholesterol efflux by activating autophagy via the miR-17-5p/Beclin-1 pathway in THP-1 macrophage-derived foam cells. Eur J Pharmacol. 2018; 827:13-21. </w:t>
      </w:r>
    </w:p>
    <w:p w14:paraId="0467CF2D"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99" w:tgtFrame="_blank" w:history="1">
        <w:r w:rsidRPr="00C10BBC">
          <w:rPr>
            <w:rFonts w:ascii="Calibri" w:eastAsia="Times New Roman" w:hAnsi="Calibri" w:cstheme="minorHAnsi"/>
            <w:color w:val="0000FF"/>
            <w:spacing w:val="-2"/>
            <w:sz w:val="20"/>
            <w:szCs w:val="20"/>
            <w:u w:val="single"/>
          </w:rPr>
          <w:t>https://doi.org/10.1016/j.ejphar.2018.02.042</w:t>
        </w:r>
      </w:hyperlink>
      <w:r w:rsidRPr="00C10BBC">
        <w:rPr>
          <w:rFonts w:ascii="Calibri" w:eastAsia="Times New Roman" w:hAnsi="Calibri" w:cstheme="minorHAnsi"/>
          <w:spacing w:val="-2"/>
          <w:sz w:val="20"/>
          <w:szCs w:val="20"/>
        </w:rPr>
        <w:t xml:space="preserve"> </w:t>
      </w:r>
    </w:p>
    <w:p w14:paraId="1D839AA3"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100"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29518394</w:t>
        </w:r>
      </w:hyperlink>
      <w:r w:rsidRPr="00C10BBC">
        <w:rPr>
          <w:rFonts w:ascii="Calibri" w:eastAsia="Times New Roman" w:hAnsi="Calibri" w:cstheme="minorHAnsi"/>
          <w:spacing w:val="-2"/>
          <w:sz w:val="20"/>
          <w:szCs w:val="20"/>
        </w:rPr>
        <w:t xml:space="preserve"> </w:t>
      </w:r>
    </w:p>
    <w:p w14:paraId="5CD015E9"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48.</w:t>
      </w:r>
      <w:r w:rsidRPr="00C10BBC">
        <w:rPr>
          <w:rFonts w:ascii="Calibri" w:eastAsia="Times New Roman" w:hAnsi="Calibri" w:cstheme="minorHAnsi"/>
          <w:spacing w:val="-2"/>
          <w:sz w:val="20"/>
          <w:szCs w:val="20"/>
        </w:rPr>
        <w:tab/>
      </w:r>
      <w:bookmarkStart w:id="99" w:name="b48"/>
      <w:bookmarkStart w:id="100" w:name="idm1002423408"/>
      <w:bookmarkEnd w:id="99"/>
      <w:bookmarkEnd w:id="100"/>
      <w:r w:rsidRPr="00C10BBC">
        <w:rPr>
          <w:rFonts w:ascii="Calibri" w:eastAsia="Times New Roman" w:hAnsi="Calibri" w:cstheme="minorHAnsi"/>
          <w:spacing w:val="-2"/>
          <w:sz w:val="20"/>
          <w:szCs w:val="20"/>
        </w:rPr>
        <w:t xml:space="preserve">Gast M, Rauch BH, Nakagawa S, Haghikia A, Jasina A, Haas J, Nath N, Jensen L, Stroux A, Bohm A, Friebel J, Rauch U, Skurk C, et al. Immune system-mediated atherosclerosis caused by deficiency of long non-coding RNA MALAT1 in ApoE-/-mice. Cardiovasc Res. 2019; 115:302-14. </w:t>
      </w:r>
    </w:p>
    <w:p w14:paraId="35E57C6A"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101" w:tgtFrame="_blank" w:history="1">
        <w:r w:rsidRPr="00C10BBC">
          <w:rPr>
            <w:rFonts w:ascii="Calibri" w:eastAsia="Times New Roman" w:hAnsi="Calibri" w:cstheme="minorHAnsi"/>
            <w:color w:val="0000FF"/>
            <w:spacing w:val="-2"/>
            <w:sz w:val="20"/>
            <w:szCs w:val="20"/>
            <w:u w:val="single"/>
          </w:rPr>
          <w:t>https://doi.org/10.1093/cvr/cvy202</w:t>
        </w:r>
      </w:hyperlink>
      <w:r w:rsidRPr="00C10BBC">
        <w:rPr>
          <w:rFonts w:ascii="Calibri" w:eastAsia="Times New Roman" w:hAnsi="Calibri" w:cstheme="minorHAnsi"/>
          <w:spacing w:val="-2"/>
          <w:sz w:val="20"/>
          <w:szCs w:val="20"/>
        </w:rPr>
        <w:t xml:space="preserve"> </w:t>
      </w:r>
    </w:p>
    <w:p w14:paraId="3FE2B025"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102"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30101304</w:t>
        </w:r>
      </w:hyperlink>
      <w:r w:rsidRPr="00C10BBC">
        <w:rPr>
          <w:rFonts w:ascii="Calibri" w:eastAsia="Times New Roman" w:hAnsi="Calibri" w:cstheme="minorHAnsi"/>
          <w:spacing w:val="-2"/>
          <w:sz w:val="20"/>
          <w:szCs w:val="20"/>
        </w:rPr>
        <w:t xml:space="preserve"> </w:t>
      </w:r>
    </w:p>
    <w:p w14:paraId="768C59C6"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49.</w:t>
      </w:r>
      <w:r w:rsidRPr="00C10BBC">
        <w:rPr>
          <w:rFonts w:ascii="Calibri" w:eastAsia="Times New Roman" w:hAnsi="Calibri" w:cstheme="minorHAnsi"/>
          <w:spacing w:val="-2"/>
          <w:sz w:val="20"/>
          <w:szCs w:val="20"/>
        </w:rPr>
        <w:tab/>
      </w:r>
      <w:bookmarkStart w:id="101" w:name="b49"/>
      <w:bookmarkStart w:id="102" w:name="idm1139476928"/>
      <w:bookmarkEnd w:id="101"/>
      <w:bookmarkEnd w:id="102"/>
      <w:r w:rsidRPr="00C10BBC">
        <w:rPr>
          <w:rFonts w:ascii="Calibri" w:eastAsia="Times New Roman" w:hAnsi="Calibri" w:cstheme="minorHAnsi"/>
          <w:spacing w:val="-2"/>
          <w:sz w:val="20"/>
          <w:szCs w:val="20"/>
        </w:rPr>
        <w:t xml:space="preserve">Szanto M, Bai P. The role of ADP-ribose metabolism in metabolic regulation, adipose tissue differentiation, and metabolism. Genes Dev. 2020; 34:321-40. </w:t>
      </w:r>
    </w:p>
    <w:p w14:paraId="015CF513"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103" w:tgtFrame="_blank" w:history="1">
        <w:r w:rsidRPr="00C10BBC">
          <w:rPr>
            <w:rFonts w:ascii="Calibri" w:eastAsia="Times New Roman" w:hAnsi="Calibri" w:cstheme="minorHAnsi"/>
            <w:color w:val="0000FF"/>
            <w:spacing w:val="-2"/>
            <w:sz w:val="20"/>
            <w:szCs w:val="20"/>
            <w:u w:val="single"/>
          </w:rPr>
          <w:t>https://doi.org/10.1101/gad.334284.119</w:t>
        </w:r>
      </w:hyperlink>
      <w:r w:rsidRPr="00C10BBC">
        <w:rPr>
          <w:rFonts w:ascii="Calibri" w:eastAsia="Times New Roman" w:hAnsi="Calibri" w:cstheme="minorHAnsi"/>
          <w:spacing w:val="-2"/>
          <w:sz w:val="20"/>
          <w:szCs w:val="20"/>
        </w:rPr>
        <w:t xml:space="preserve"> </w:t>
      </w:r>
    </w:p>
    <w:p w14:paraId="66327BD8"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104"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32029456</w:t>
        </w:r>
      </w:hyperlink>
      <w:r w:rsidRPr="00C10BBC">
        <w:rPr>
          <w:rFonts w:ascii="Calibri" w:eastAsia="Times New Roman" w:hAnsi="Calibri" w:cstheme="minorHAnsi"/>
          <w:spacing w:val="-2"/>
          <w:sz w:val="20"/>
          <w:szCs w:val="20"/>
        </w:rPr>
        <w:t xml:space="preserve"> </w:t>
      </w:r>
    </w:p>
    <w:p w14:paraId="39C5F22D"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50.</w:t>
      </w:r>
      <w:r w:rsidRPr="00C10BBC">
        <w:rPr>
          <w:rFonts w:ascii="Calibri" w:eastAsia="Times New Roman" w:hAnsi="Calibri" w:cstheme="minorHAnsi"/>
          <w:spacing w:val="-2"/>
          <w:sz w:val="20"/>
          <w:szCs w:val="20"/>
        </w:rPr>
        <w:tab/>
      </w:r>
      <w:bookmarkStart w:id="103" w:name="b50"/>
      <w:bookmarkStart w:id="104" w:name="idm996588832"/>
      <w:bookmarkEnd w:id="103"/>
      <w:bookmarkEnd w:id="104"/>
      <w:r w:rsidRPr="00C10BBC">
        <w:rPr>
          <w:rFonts w:ascii="Calibri" w:eastAsia="Times New Roman" w:hAnsi="Calibri" w:cstheme="minorHAnsi"/>
          <w:spacing w:val="-2"/>
          <w:sz w:val="20"/>
          <w:szCs w:val="20"/>
        </w:rPr>
        <w:t xml:space="preserve">Shen X, Wang W, Wang L, Houde C, Wu W, Tudor M, Thompson JR, Sisk CM, Hubbard B, Li J. Identification of genes affecting apolipoprotein B secretion following siRNA-mediated gene knockdown in primary human hepatocytes. Atherosclerosis. 2012; 222:154-57. </w:t>
      </w:r>
    </w:p>
    <w:p w14:paraId="79E86C14"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105" w:tgtFrame="_blank" w:history="1">
        <w:r w:rsidRPr="00C10BBC">
          <w:rPr>
            <w:rFonts w:ascii="Calibri" w:eastAsia="Times New Roman" w:hAnsi="Calibri" w:cstheme="minorHAnsi"/>
            <w:color w:val="0000FF"/>
            <w:spacing w:val="-2"/>
            <w:sz w:val="20"/>
            <w:szCs w:val="20"/>
            <w:u w:val="single"/>
          </w:rPr>
          <w:t>https://doi.org/10.1016/j.atherosclerosis.2012.02.012</w:t>
        </w:r>
      </w:hyperlink>
      <w:r w:rsidRPr="00C10BBC">
        <w:rPr>
          <w:rFonts w:ascii="Calibri" w:eastAsia="Times New Roman" w:hAnsi="Calibri" w:cstheme="minorHAnsi"/>
          <w:spacing w:val="-2"/>
          <w:sz w:val="20"/>
          <w:szCs w:val="20"/>
        </w:rPr>
        <w:t xml:space="preserve"> </w:t>
      </w:r>
    </w:p>
    <w:p w14:paraId="64874342"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106"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22398276</w:t>
        </w:r>
      </w:hyperlink>
      <w:r w:rsidRPr="00C10BBC">
        <w:rPr>
          <w:rFonts w:ascii="Calibri" w:eastAsia="Times New Roman" w:hAnsi="Calibri" w:cstheme="minorHAnsi"/>
          <w:spacing w:val="-2"/>
          <w:sz w:val="20"/>
          <w:szCs w:val="20"/>
        </w:rPr>
        <w:t xml:space="preserve"> </w:t>
      </w:r>
    </w:p>
    <w:p w14:paraId="342C2EE4"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51.</w:t>
      </w:r>
      <w:r w:rsidRPr="00C10BBC">
        <w:rPr>
          <w:rFonts w:ascii="Calibri" w:eastAsia="Times New Roman" w:hAnsi="Calibri" w:cstheme="minorHAnsi"/>
          <w:spacing w:val="-2"/>
          <w:sz w:val="20"/>
          <w:szCs w:val="20"/>
        </w:rPr>
        <w:tab/>
      </w:r>
      <w:bookmarkStart w:id="105" w:name="b51"/>
      <w:bookmarkStart w:id="106" w:name="idm1014520000"/>
      <w:bookmarkEnd w:id="105"/>
      <w:bookmarkEnd w:id="106"/>
      <w:r w:rsidRPr="00C10BBC">
        <w:rPr>
          <w:rFonts w:ascii="Calibri" w:eastAsia="Times New Roman" w:hAnsi="Calibri" w:cstheme="minorHAnsi"/>
          <w:spacing w:val="-2"/>
          <w:sz w:val="20"/>
          <w:szCs w:val="20"/>
        </w:rPr>
        <w:t xml:space="preserve">He XW, Li WL, Li C, Liu P, Shen YG, Zhu M, Jin XP. Serum levels of galectin-1, galectin-3, and galectin-9 are associated with large artery atherosclerotic stroke. Sci Rep. 2017; 7:40994. </w:t>
      </w:r>
    </w:p>
    <w:p w14:paraId="1E0FBA98"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107" w:tgtFrame="_blank" w:history="1">
        <w:r w:rsidRPr="00C10BBC">
          <w:rPr>
            <w:rFonts w:ascii="Calibri" w:eastAsia="Times New Roman" w:hAnsi="Calibri" w:cstheme="minorHAnsi"/>
            <w:color w:val="0000FF"/>
            <w:spacing w:val="-2"/>
            <w:sz w:val="20"/>
            <w:szCs w:val="20"/>
            <w:u w:val="single"/>
          </w:rPr>
          <w:t>https://doi.org/10.1038/srep40994</w:t>
        </w:r>
      </w:hyperlink>
      <w:r w:rsidRPr="00C10BBC">
        <w:rPr>
          <w:rFonts w:ascii="Calibri" w:eastAsia="Times New Roman" w:hAnsi="Calibri" w:cstheme="minorHAnsi"/>
          <w:spacing w:val="-2"/>
          <w:sz w:val="20"/>
          <w:szCs w:val="20"/>
        </w:rPr>
        <w:t xml:space="preserve"> </w:t>
      </w:r>
    </w:p>
    <w:p w14:paraId="5C7623EC"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108"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28112232</w:t>
        </w:r>
      </w:hyperlink>
      <w:r w:rsidRPr="00C10BBC">
        <w:rPr>
          <w:rFonts w:ascii="Calibri" w:eastAsia="Times New Roman" w:hAnsi="Calibri" w:cstheme="minorHAnsi"/>
          <w:spacing w:val="-2"/>
          <w:sz w:val="20"/>
          <w:szCs w:val="20"/>
        </w:rPr>
        <w:t xml:space="preserve"> </w:t>
      </w:r>
    </w:p>
    <w:p w14:paraId="3B4CF23F"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52.</w:t>
      </w:r>
      <w:r w:rsidRPr="00C10BBC">
        <w:rPr>
          <w:rFonts w:ascii="Calibri" w:eastAsia="Times New Roman" w:hAnsi="Calibri" w:cstheme="minorHAnsi"/>
          <w:spacing w:val="-2"/>
          <w:sz w:val="20"/>
          <w:szCs w:val="20"/>
        </w:rPr>
        <w:tab/>
      </w:r>
      <w:bookmarkStart w:id="107" w:name="b52"/>
      <w:bookmarkStart w:id="108" w:name="idm1004034336"/>
      <w:bookmarkEnd w:id="107"/>
      <w:bookmarkEnd w:id="108"/>
      <w:r w:rsidRPr="00C10BBC">
        <w:rPr>
          <w:rFonts w:ascii="Calibri" w:eastAsia="Times New Roman" w:hAnsi="Calibri" w:cstheme="minorHAnsi"/>
          <w:spacing w:val="-2"/>
          <w:sz w:val="20"/>
          <w:szCs w:val="20"/>
        </w:rPr>
        <w:t xml:space="preserve">Zhang C, Qin JJ, Gong FH, Tong JJ, Cheng WL, Wang H, Zhang Y, Zhu X, She ZG, Xia H, Zhu LH. Mindin deficiency in macrophages protects against foam cell formation and atherosclerosis by targeting LXR-?. Clin Sci (Lond). 2018; 132:1199-213. </w:t>
      </w:r>
    </w:p>
    <w:p w14:paraId="11F628BE"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109" w:tgtFrame="_blank" w:history="1">
        <w:r w:rsidRPr="00C10BBC">
          <w:rPr>
            <w:rFonts w:ascii="Calibri" w:eastAsia="Times New Roman" w:hAnsi="Calibri" w:cstheme="minorHAnsi"/>
            <w:color w:val="0000FF"/>
            <w:spacing w:val="-2"/>
            <w:sz w:val="20"/>
            <w:szCs w:val="20"/>
            <w:u w:val="single"/>
          </w:rPr>
          <w:t>https://doi.org/10.1042/CS20180033</w:t>
        </w:r>
      </w:hyperlink>
      <w:r w:rsidRPr="00C10BBC">
        <w:rPr>
          <w:rFonts w:ascii="Calibri" w:eastAsia="Times New Roman" w:hAnsi="Calibri" w:cstheme="minorHAnsi"/>
          <w:spacing w:val="-2"/>
          <w:sz w:val="20"/>
          <w:szCs w:val="20"/>
        </w:rPr>
        <w:t xml:space="preserve"> </w:t>
      </w:r>
    </w:p>
    <w:p w14:paraId="2B85A9F0"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110"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29695588</w:t>
        </w:r>
      </w:hyperlink>
      <w:r w:rsidRPr="00C10BBC">
        <w:rPr>
          <w:rFonts w:ascii="Calibri" w:eastAsia="Times New Roman" w:hAnsi="Calibri" w:cstheme="minorHAnsi"/>
          <w:spacing w:val="-2"/>
          <w:sz w:val="20"/>
          <w:szCs w:val="20"/>
        </w:rPr>
        <w:t xml:space="preserve"> </w:t>
      </w:r>
    </w:p>
    <w:p w14:paraId="41D51668"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53.</w:t>
      </w:r>
      <w:r w:rsidRPr="00C10BBC">
        <w:rPr>
          <w:rFonts w:ascii="Calibri" w:eastAsia="Times New Roman" w:hAnsi="Calibri" w:cstheme="minorHAnsi"/>
          <w:spacing w:val="-2"/>
          <w:sz w:val="20"/>
          <w:szCs w:val="20"/>
        </w:rPr>
        <w:tab/>
      </w:r>
      <w:bookmarkStart w:id="109" w:name="b53"/>
      <w:bookmarkStart w:id="110" w:name="idm436255520"/>
      <w:bookmarkEnd w:id="109"/>
      <w:bookmarkEnd w:id="110"/>
      <w:r w:rsidRPr="00C10BBC">
        <w:rPr>
          <w:rFonts w:ascii="Calibri" w:eastAsia="Times New Roman" w:hAnsi="Calibri" w:cstheme="minorHAnsi"/>
          <w:spacing w:val="-2"/>
          <w:sz w:val="20"/>
          <w:szCs w:val="20"/>
        </w:rPr>
        <w:t xml:space="preserve">Adamson SE, Polanowska-Grabowska R, Marqueen K, Griffiths R, Angdisen J, Breevoort SR, Schulman IG, Leitinger N. Deficiency of Dab2 (Disabled Homolog 2) in Myeloid Cells Exacerbates Inflammation in Liver and Atherosclerotic Plaques in LDLR (Low-Density Lipoprotein Receptor)-Null Mice-Brief Report. Arterioscler Thromb Vasc Biol. 2018; 38:1020-29. </w:t>
      </w:r>
    </w:p>
    <w:p w14:paraId="26C972CB"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111" w:tgtFrame="_blank" w:history="1">
        <w:r w:rsidRPr="00C10BBC">
          <w:rPr>
            <w:rFonts w:ascii="Calibri" w:eastAsia="Times New Roman" w:hAnsi="Calibri" w:cstheme="minorHAnsi"/>
            <w:color w:val="0000FF"/>
            <w:spacing w:val="-2"/>
            <w:sz w:val="20"/>
            <w:szCs w:val="20"/>
            <w:u w:val="single"/>
          </w:rPr>
          <w:t>https://doi.org/10.1161/ATVBAHA.117.310467</w:t>
        </w:r>
      </w:hyperlink>
      <w:r w:rsidRPr="00C10BBC">
        <w:rPr>
          <w:rFonts w:ascii="Calibri" w:eastAsia="Times New Roman" w:hAnsi="Calibri" w:cstheme="minorHAnsi"/>
          <w:spacing w:val="-2"/>
          <w:sz w:val="20"/>
          <w:szCs w:val="20"/>
        </w:rPr>
        <w:t xml:space="preserve"> </w:t>
      </w:r>
    </w:p>
    <w:p w14:paraId="19459583"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112"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29599136</w:t>
        </w:r>
      </w:hyperlink>
      <w:r w:rsidRPr="00C10BBC">
        <w:rPr>
          <w:rFonts w:ascii="Calibri" w:eastAsia="Times New Roman" w:hAnsi="Calibri" w:cstheme="minorHAnsi"/>
          <w:spacing w:val="-2"/>
          <w:sz w:val="20"/>
          <w:szCs w:val="20"/>
        </w:rPr>
        <w:t xml:space="preserve"> </w:t>
      </w:r>
    </w:p>
    <w:p w14:paraId="1D858C2C"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54.</w:t>
      </w:r>
      <w:r w:rsidRPr="00C10BBC">
        <w:rPr>
          <w:rFonts w:ascii="Calibri" w:eastAsia="Times New Roman" w:hAnsi="Calibri" w:cstheme="minorHAnsi"/>
          <w:spacing w:val="-2"/>
          <w:sz w:val="20"/>
          <w:szCs w:val="20"/>
        </w:rPr>
        <w:tab/>
      </w:r>
      <w:bookmarkStart w:id="111" w:name="b54"/>
      <w:bookmarkStart w:id="112" w:name="idm1153664704"/>
      <w:bookmarkEnd w:id="111"/>
      <w:bookmarkEnd w:id="112"/>
      <w:r w:rsidRPr="00C10BBC">
        <w:rPr>
          <w:rFonts w:ascii="Calibri" w:eastAsia="Times New Roman" w:hAnsi="Calibri" w:cstheme="minorHAnsi"/>
          <w:spacing w:val="-2"/>
          <w:sz w:val="20"/>
          <w:szCs w:val="20"/>
        </w:rPr>
        <w:t>Wang Y, Song X, Li Z, Liu N, Yan Y, Li T, Sun W, Guan Y, Li M, Yang Y, Yang X, Liu B. MicroRNA-103 Protects Coronary Artery Endothelial Cells against H</w:t>
      </w:r>
      <w:r w:rsidRPr="00C10BBC">
        <w:rPr>
          <w:rFonts w:ascii="Calibri" w:eastAsia="Times New Roman" w:hAnsi="Calibri" w:cstheme="minorHAnsi"/>
          <w:spacing w:val="-2"/>
          <w:sz w:val="20"/>
          <w:szCs w:val="20"/>
          <w:vertAlign w:val="subscript"/>
        </w:rPr>
        <w:t>2</w:t>
      </w:r>
      <w:r w:rsidRPr="00C10BBC">
        <w:rPr>
          <w:rFonts w:ascii="Calibri" w:eastAsia="Times New Roman" w:hAnsi="Calibri" w:cstheme="minorHAnsi"/>
          <w:spacing w:val="-2"/>
          <w:sz w:val="20"/>
          <w:szCs w:val="20"/>
        </w:rPr>
        <w:t>O</w:t>
      </w:r>
      <w:r w:rsidRPr="00C10BBC">
        <w:rPr>
          <w:rFonts w:ascii="Calibri" w:eastAsia="Times New Roman" w:hAnsi="Calibri" w:cstheme="minorHAnsi"/>
          <w:spacing w:val="-2"/>
          <w:sz w:val="20"/>
          <w:szCs w:val="20"/>
          <w:vertAlign w:val="subscript"/>
        </w:rPr>
        <w:t>2</w:t>
      </w:r>
      <w:r w:rsidRPr="00C10BBC">
        <w:rPr>
          <w:rFonts w:ascii="Calibri" w:eastAsia="Times New Roman" w:hAnsi="Calibri" w:cstheme="minorHAnsi"/>
          <w:spacing w:val="-2"/>
          <w:sz w:val="20"/>
          <w:szCs w:val="20"/>
        </w:rPr>
        <w:t xml:space="preserve">-Induced Oxidative Stress via BNIP3-Mediated End-Stage Autophagy and Antipyroptosis Pathways. Oxid Med Cell Longev. 2020; 2020:8351342. </w:t>
      </w:r>
    </w:p>
    <w:p w14:paraId="275F35B3"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113" w:tgtFrame="_blank" w:history="1">
        <w:r w:rsidRPr="00C10BBC">
          <w:rPr>
            <w:rFonts w:ascii="Calibri" w:eastAsia="Times New Roman" w:hAnsi="Calibri" w:cstheme="minorHAnsi"/>
            <w:color w:val="0000FF"/>
            <w:spacing w:val="-2"/>
            <w:sz w:val="20"/>
            <w:szCs w:val="20"/>
            <w:u w:val="single"/>
          </w:rPr>
          <w:t>https://doi.org/10.1155/2020/8351342</w:t>
        </w:r>
      </w:hyperlink>
      <w:r w:rsidRPr="00C10BBC">
        <w:rPr>
          <w:rFonts w:ascii="Calibri" w:eastAsia="Times New Roman" w:hAnsi="Calibri" w:cstheme="minorHAnsi"/>
          <w:spacing w:val="-2"/>
          <w:sz w:val="20"/>
          <w:szCs w:val="20"/>
        </w:rPr>
        <w:t xml:space="preserve"> </w:t>
      </w:r>
    </w:p>
    <w:p w14:paraId="0A9BD2F8"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114"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32190178</w:t>
        </w:r>
      </w:hyperlink>
      <w:r w:rsidRPr="00C10BBC">
        <w:rPr>
          <w:rFonts w:ascii="Calibri" w:eastAsia="Times New Roman" w:hAnsi="Calibri" w:cstheme="minorHAnsi"/>
          <w:spacing w:val="-2"/>
          <w:sz w:val="20"/>
          <w:szCs w:val="20"/>
        </w:rPr>
        <w:t xml:space="preserve"> </w:t>
      </w:r>
    </w:p>
    <w:p w14:paraId="16F93DC0"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55.</w:t>
      </w:r>
      <w:r w:rsidRPr="00C10BBC">
        <w:rPr>
          <w:rFonts w:ascii="Calibri" w:eastAsia="Times New Roman" w:hAnsi="Calibri" w:cstheme="minorHAnsi"/>
          <w:spacing w:val="-2"/>
          <w:sz w:val="20"/>
          <w:szCs w:val="20"/>
        </w:rPr>
        <w:tab/>
      </w:r>
      <w:bookmarkStart w:id="113" w:name="b55"/>
      <w:bookmarkStart w:id="114" w:name="idm996634080"/>
      <w:bookmarkEnd w:id="113"/>
      <w:bookmarkEnd w:id="114"/>
      <w:r w:rsidRPr="00C10BBC">
        <w:rPr>
          <w:rFonts w:ascii="Calibri" w:eastAsia="Times New Roman" w:hAnsi="Calibri" w:cstheme="minorHAnsi"/>
          <w:spacing w:val="-2"/>
          <w:sz w:val="20"/>
          <w:szCs w:val="20"/>
        </w:rPr>
        <w:t xml:space="preserve">Chen J, Zhang J, Yang J, Xu L, Hu Q, Xu C, Yang S, Jiang H. Histone demethylase KDM3a, a novel regulator of vascular smooth muscle cells, controls vascular neointimal hyperplasia in diabetic rats. Atherosclerosis. 2017; 257:152-63. </w:t>
      </w:r>
    </w:p>
    <w:p w14:paraId="72C2B76D"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115" w:tgtFrame="_blank" w:history="1">
        <w:r w:rsidRPr="00C10BBC">
          <w:rPr>
            <w:rFonts w:ascii="Calibri" w:eastAsia="Times New Roman" w:hAnsi="Calibri" w:cstheme="minorHAnsi"/>
            <w:color w:val="0000FF"/>
            <w:spacing w:val="-2"/>
            <w:sz w:val="20"/>
            <w:szCs w:val="20"/>
            <w:u w:val="single"/>
          </w:rPr>
          <w:t>https://doi.org/10.1016/j.atherosclerosis.2016.12.007</w:t>
        </w:r>
      </w:hyperlink>
      <w:r w:rsidRPr="00C10BBC">
        <w:rPr>
          <w:rFonts w:ascii="Calibri" w:eastAsia="Times New Roman" w:hAnsi="Calibri" w:cstheme="minorHAnsi"/>
          <w:spacing w:val="-2"/>
          <w:sz w:val="20"/>
          <w:szCs w:val="20"/>
        </w:rPr>
        <w:t xml:space="preserve"> </w:t>
      </w:r>
    </w:p>
    <w:p w14:paraId="3303D825"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116"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28135625</w:t>
        </w:r>
      </w:hyperlink>
      <w:r w:rsidRPr="00C10BBC">
        <w:rPr>
          <w:rFonts w:ascii="Calibri" w:eastAsia="Times New Roman" w:hAnsi="Calibri" w:cstheme="minorHAnsi"/>
          <w:spacing w:val="-2"/>
          <w:sz w:val="20"/>
          <w:szCs w:val="20"/>
        </w:rPr>
        <w:t xml:space="preserve"> </w:t>
      </w:r>
    </w:p>
    <w:p w14:paraId="3587CD8C"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56.</w:t>
      </w:r>
      <w:r w:rsidRPr="00C10BBC">
        <w:rPr>
          <w:rFonts w:ascii="Calibri" w:eastAsia="Times New Roman" w:hAnsi="Calibri" w:cstheme="minorHAnsi"/>
          <w:spacing w:val="-2"/>
          <w:sz w:val="20"/>
          <w:szCs w:val="20"/>
        </w:rPr>
        <w:tab/>
      </w:r>
      <w:bookmarkStart w:id="115" w:name="b56"/>
      <w:bookmarkStart w:id="116" w:name="idm1161911744"/>
      <w:bookmarkEnd w:id="115"/>
      <w:bookmarkEnd w:id="116"/>
      <w:r w:rsidRPr="00C10BBC">
        <w:rPr>
          <w:rFonts w:ascii="Calibri" w:eastAsia="Times New Roman" w:hAnsi="Calibri" w:cstheme="minorHAnsi"/>
          <w:spacing w:val="-2"/>
          <w:sz w:val="20"/>
          <w:szCs w:val="20"/>
        </w:rPr>
        <w:t xml:space="preserve">Seneviratne AN, Edsfeldt A, Cole JE, Kassiteridi C, Swart M, Park I, Green P, Khoyratty T, Saliba D, Goddard ME, Sansom SN, Goncalves I, Krams R, et al. Interferon Regulatory Factor 5 Controls Necrotic Core Formation in Atherosclerotic Lesions by Impairing Efferocytosis. Circulation. 2017; 136:1140-54. </w:t>
      </w:r>
    </w:p>
    <w:p w14:paraId="35E53FFD"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117" w:tgtFrame="_blank" w:history="1">
        <w:r w:rsidRPr="00C10BBC">
          <w:rPr>
            <w:rFonts w:ascii="Calibri" w:eastAsia="Times New Roman" w:hAnsi="Calibri" w:cstheme="minorHAnsi"/>
            <w:color w:val="0000FF"/>
            <w:spacing w:val="-2"/>
            <w:sz w:val="20"/>
            <w:szCs w:val="20"/>
            <w:u w:val="single"/>
          </w:rPr>
          <w:t>https://doi.org/10.1161/CIRCULATIONAHA.117.027844</w:t>
        </w:r>
      </w:hyperlink>
      <w:r w:rsidRPr="00C10BBC">
        <w:rPr>
          <w:rFonts w:ascii="Calibri" w:eastAsia="Times New Roman" w:hAnsi="Calibri" w:cstheme="minorHAnsi"/>
          <w:spacing w:val="-2"/>
          <w:sz w:val="20"/>
          <w:szCs w:val="20"/>
        </w:rPr>
        <w:t xml:space="preserve"> </w:t>
      </w:r>
    </w:p>
    <w:p w14:paraId="36D4955E"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118"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28698173</w:t>
        </w:r>
      </w:hyperlink>
      <w:r w:rsidRPr="00C10BBC">
        <w:rPr>
          <w:rFonts w:ascii="Calibri" w:eastAsia="Times New Roman" w:hAnsi="Calibri" w:cstheme="minorHAnsi"/>
          <w:spacing w:val="-2"/>
          <w:sz w:val="20"/>
          <w:szCs w:val="20"/>
        </w:rPr>
        <w:t xml:space="preserve"> </w:t>
      </w:r>
    </w:p>
    <w:p w14:paraId="1473036E"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57.</w:t>
      </w:r>
      <w:r w:rsidRPr="00C10BBC">
        <w:rPr>
          <w:rFonts w:ascii="Calibri" w:eastAsia="Times New Roman" w:hAnsi="Calibri" w:cstheme="minorHAnsi"/>
          <w:spacing w:val="-2"/>
          <w:sz w:val="20"/>
          <w:szCs w:val="20"/>
        </w:rPr>
        <w:tab/>
      </w:r>
      <w:bookmarkStart w:id="117" w:name="b57"/>
      <w:bookmarkStart w:id="118" w:name="idm974627872"/>
      <w:bookmarkEnd w:id="117"/>
      <w:bookmarkEnd w:id="118"/>
      <w:r w:rsidRPr="00C10BBC">
        <w:rPr>
          <w:rFonts w:ascii="Calibri" w:eastAsia="Times New Roman" w:hAnsi="Calibri" w:cstheme="minorHAnsi"/>
          <w:spacing w:val="-2"/>
          <w:sz w:val="20"/>
          <w:szCs w:val="20"/>
        </w:rPr>
        <w:t xml:space="preserve">McGrath KC, Li XH, Puranik R, Liong EC, Tan JT, Dy VM, DiBartolo BA, Barter PJ, Rye KA, Heather AK. Role of 3beta-hydroxysteroid-delta 24 reductase in mediating antiinflammatory effects of high-density lipoproteins in endothelial cells. Arterioscler Thromb Vasc Biol. 2009; 29:877-82. </w:t>
      </w:r>
    </w:p>
    <w:p w14:paraId="1B5742FE"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119" w:tgtFrame="_blank" w:history="1">
        <w:r w:rsidRPr="00C10BBC">
          <w:rPr>
            <w:rFonts w:ascii="Calibri" w:eastAsia="Times New Roman" w:hAnsi="Calibri" w:cstheme="minorHAnsi"/>
            <w:color w:val="0000FF"/>
            <w:spacing w:val="-2"/>
            <w:sz w:val="20"/>
            <w:szCs w:val="20"/>
            <w:u w:val="single"/>
          </w:rPr>
          <w:t>https://doi.org/10.1161/ATVBAHA.109.184663</w:t>
        </w:r>
      </w:hyperlink>
      <w:r w:rsidRPr="00C10BBC">
        <w:rPr>
          <w:rFonts w:ascii="Calibri" w:eastAsia="Times New Roman" w:hAnsi="Calibri" w:cstheme="minorHAnsi"/>
          <w:spacing w:val="-2"/>
          <w:sz w:val="20"/>
          <w:szCs w:val="20"/>
        </w:rPr>
        <w:t xml:space="preserve"> </w:t>
      </w:r>
    </w:p>
    <w:p w14:paraId="7DB1CE4E"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120"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19325144</w:t>
        </w:r>
      </w:hyperlink>
      <w:r w:rsidRPr="00C10BBC">
        <w:rPr>
          <w:rFonts w:ascii="Calibri" w:eastAsia="Times New Roman" w:hAnsi="Calibri" w:cstheme="minorHAnsi"/>
          <w:spacing w:val="-2"/>
          <w:sz w:val="20"/>
          <w:szCs w:val="20"/>
        </w:rPr>
        <w:t xml:space="preserve"> </w:t>
      </w:r>
    </w:p>
    <w:p w14:paraId="294483D8"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58.</w:t>
      </w:r>
      <w:r w:rsidRPr="00C10BBC">
        <w:rPr>
          <w:rFonts w:ascii="Calibri" w:eastAsia="Times New Roman" w:hAnsi="Calibri" w:cstheme="minorHAnsi"/>
          <w:spacing w:val="-2"/>
          <w:sz w:val="20"/>
          <w:szCs w:val="20"/>
        </w:rPr>
        <w:tab/>
      </w:r>
      <w:bookmarkStart w:id="119" w:name="b58"/>
      <w:bookmarkStart w:id="120" w:name="idm1161661536"/>
      <w:bookmarkEnd w:id="119"/>
      <w:bookmarkEnd w:id="120"/>
      <w:r w:rsidRPr="00C10BBC">
        <w:rPr>
          <w:rFonts w:ascii="Calibri" w:eastAsia="Times New Roman" w:hAnsi="Calibri" w:cstheme="minorHAnsi"/>
          <w:spacing w:val="-2"/>
          <w:sz w:val="20"/>
          <w:szCs w:val="20"/>
        </w:rPr>
        <w:t xml:space="preserve">Baetta R, Lento S, Ghilardi S, Barbati E, Corsini A, Tremoli E, Banfi C. Atorvastatin reduces long pentraxin 3 expression in vascular cells by inhibiting protein geranylgeranylation. Vascul Pharmacol. 2015; 67-69:38-47. </w:t>
      </w:r>
    </w:p>
    <w:p w14:paraId="4482B289"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121" w:tgtFrame="_blank" w:history="1">
        <w:r w:rsidRPr="00C10BBC">
          <w:rPr>
            <w:rFonts w:ascii="Calibri" w:eastAsia="Times New Roman" w:hAnsi="Calibri" w:cstheme="minorHAnsi"/>
            <w:color w:val="0000FF"/>
            <w:spacing w:val="-2"/>
            <w:sz w:val="20"/>
            <w:szCs w:val="20"/>
            <w:u w:val="single"/>
          </w:rPr>
          <w:t>https://doi.org/10.1016/j.vph.2014.11.008</w:t>
        </w:r>
      </w:hyperlink>
      <w:r w:rsidRPr="00C10BBC">
        <w:rPr>
          <w:rFonts w:ascii="Calibri" w:eastAsia="Times New Roman" w:hAnsi="Calibri" w:cstheme="minorHAnsi"/>
          <w:spacing w:val="-2"/>
          <w:sz w:val="20"/>
          <w:szCs w:val="20"/>
        </w:rPr>
        <w:t xml:space="preserve"> </w:t>
      </w:r>
    </w:p>
    <w:p w14:paraId="65080D08"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122"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25849951</w:t>
        </w:r>
      </w:hyperlink>
      <w:r w:rsidRPr="00C10BBC">
        <w:rPr>
          <w:rFonts w:ascii="Calibri" w:eastAsia="Times New Roman" w:hAnsi="Calibri" w:cstheme="minorHAnsi"/>
          <w:spacing w:val="-2"/>
          <w:sz w:val="20"/>
          <w:szCs w:val="20"/>
        </w:rPr>
        <w:t xml:space="preserve"> </w:t>
      </w:r>
    </w:p>
    <w:p w14:paraId="00E8CEE4"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59.</w:t>
      </w:r>
      <w:r w:rsidRPr="00C10BBC">
        <w:rPr>
          <w:rFonts w:ascii="Calibri" w:eastAsia="Times New Roman" w:hAnsi="Calibri" w:cstheme="minorHAnsi"/>
          <w:spacing w:val="-2"/>
          <w:sz w:val="20"/>
          <w:szCs w:val="20"/>
        </w:rPr>
        <w:tab/>
      </w:r>
      <w:bookmarkStart w:id="121" w:name="b59"/>
      <w:bookmarkStart w:id="122" w:name="idm1139971264"/>
      <w:bookmarkEnd w:id="121"/>
      <w:bookmarkEnd w:id="122"/>
      <w:r w:rsidRPr="00C10BBC">
        <w:rPr>
          <w:rFonts w:ascii="Calibri" w:eastAsia="Times New Roman" w:hAnsi="Calibri" w:cstheme="minorHAnsi"/>
          <w:spacing w:val="-2"/>
          <w:sz w:val="20"/>
          <w:szCs w:val="20"/>
        </w:rPr>
        <w:t xml:space="preserve">Xu Z, Han Y, Liu J, Jiang F, Hu H, Wang Y, Liu Q, Gong Y, Li X. MiR-135b-5p and MiR-499a-3p Promote Cell Proliferation and Migration in Atherosclerosis by Directly Targeting MEF2C. Sci Rep. 2015; 5:12276. </w:t>
      </w:r>
    </w:p>
    <w:p w14:paraId="7E55B247"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123" w:tgtFrame="_blank" w:history="1">
        <w:r w:rsidRPr="00C10BBC">
          <w:rPr>
            <w:rFonts w:ascii="Calibri" w:eastAsia="Times New Roman" w:hAnsi="Calibri" w:cstheme="minorHAnsi"/>
            <w:color w:val="0000FF"/>
            <w:spacing w:val="-2"/>
            <w:sz w:val="20"/>
            <w:szCs w:val="20"/>
            <w:u w:val="single"/>
          </w:rPr>
          <w:t>https://doi.org/10.1038/srep12276</w:t>
        </w:r>
      </w:hyperlink>
      <w:r w:rsidRPr="00C10BBC">
        <w:rPr>
          <w:rFonts w:ascii="Calibri" w:eastAsia="Times New Roman" w:hAnsi="Calibri" w:cstheme="minorHAnsi"/>
          <w:spacing w:val="-2"/>
          <w:sz w:val="20"/>
          <w:szCs w:val="20"/>
        </w:rPr>
        <w:t xml:space="preserve"> </w:t>
      </w:r>
    </w:p>
    <w:p w14:paraId="38A54980"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124"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26184978</w:t>
        </w:r>
      </w:hyperlink>
      <w:r w:rsidRPr="00C10BBC">
        <w:rPr>
          <w:rFonts w:ascii="Calibri" w:eastAsia="Times New Roman" w:hAnsi="Calibri" w:cstheme="minorHAnsi"/>
          <w:spacing w:val="-2"/>
          <w:sz w:val="20"/>
          <w:szCs w:val="20"/>
        </w:rPr>
        <w:t xml:space="preserve"> </w:t>
      </w:r>
    </w:p>
    <w:p w14:paraId="38019488"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60.</w:t>
      </w:r>
      <w:r w:rsidRPr="00C10BBC">
        <w:rPr>
          <w:rFonts w:ascii="Calibri" w:eastAsia="Times New Roman" w:hAnsi="Calibri" w:cstheme="minorHAnsi"/>
          <w:spacing w:val="-2"/>
          <w:sz w:val="20"/>
          <w:szCs w:val="20"/>
        </w:rPr>
        <w:tab/>
      </w:r>
      <w:bookmarkStart w:id="123" w:name="b60"/>
      <w:bookmarkStart w:id="124" w:name="idm1138410448"/>
      <w:bookmarkEnd w:id="123"/>
      <w:bookmarkEnd w:id="124"/>
      <w:r w:rsidRPr="00C10BBC">
        <w:rPr>
          <w:rFonts w:ascii="Calibri" w:eastAsia="Times New Roman" w:hAnsi="Calibri" w:cstheme="minorHAnsi"/>
          <w:spacing w:val="-2"/>
          <w:sz w:val="20"/>
          <w:szCs w:val="20"/>
        </w:rPr>
        <w:t xml:space="preserve">Manichaikul A, Naj AC, Herrington D, Post W, Rich SS, Rodriguez A. Association of SCARB1 variants with subclinical atherosclerosis and incident cardiovascular disease: the multi-ethnic study of atherosclerosis. Arterioscler Thromb Vasc Biol. 2012; 32:1991-99. </w:t>
      </w:r>
    </w:p>
    <w:p w14:paraId="2FAC07DD"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125" w:tgtFrame="_blank" w:history="1">
        <w:r w:rsidRPr="00C10BBC">
          <w:rPr>
            <w:rFonts w:ascii="Calibri" w:eastAsia="Times New Roman" w:hAnsi="Calibri" w:cstheme="minorHAnsi"/>
            <w:color w:val="0000FF"/>
            <w:spacing w:val="-2"/>
            <w:sz w:val="20"/>
            <w:szCs w:val="20"/>
            <w:u w:val="single"/>
          </w:rPr>
          <w:t>https://doi.org/10.1161/ATVBAHA.112.249714</w:t>
        </w:r>
      </w:hyperlink>
      <w:r w:rsidRPr="00C10BBC">
        <w:rPr>
          <w:rFonts w:ascii="Calibri" w:eastAsia="Times New Roman" w:hAnsi="Calibri" w:cstheme="minorHAnsi"/>
          <w:spacing w:val="-2"/>
          <w:sz w:val="20"/>
          <w:szCs w:val="20"/>
        </w:rPr>
        <w:t xml:space="preserve"> </w:t>
      </w:r>
    </w:p>
    <w:p w14:paraId="75B676AF"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126"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22628436</w:t>
        </w:r>
      </w:hyperlink>
      <w:r w:rsidRPr="00C10BBC">
        <w:rPr>
          <w:rFonts w:ascii="Calibri" w:eastAsia="Times New Roman" w:hAnsi="Calibri" w:cstheme="minorHAnsi"/>
          <w:spacing w:val="-2"/>
          <w:sz w:val="20"/>
          <w:szCs w:val="20"/>
        </w:rPr>
        <w:t xml:space="preserve"> </w:t>
      </w:r>
    </w:p>
    <w:p w14:paraId="73F409C3"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61.</w:t>
      </w:r>
      <w:r w:rsidRPr="00C10BBC">
        <w:rPr>
          <w:rFonts w:ascii="Calibri" w:eastAsia="Times New Roman" w:hAnsi="Calibri" w:cstheme="minorHAnsi"/>
          <w:spacing w:val="-2"/>
          <w:sz w:val="20"/>
          <w:szCs w:val="20"/>
        </w:rPr>
        <w:tab/>
      </w:r>
      <w:bookmarkStart w:id="125" w:name="b61"/>
      <w:bookmarkStart w:id="126" w:name="idm1162171232"/>
      <w:bookmarkEnd w:id="125"/>
      <w:bookmarkEnd w:id="126"/>
      <w:r w:rsidRPr="00C10BBC">
        <w:rPr>
          <w:rFonts w:ascii="Calibri" w:eastAsia="Times New Roman" w:hAnsi="Calibri" w:cstheme="minorHAnsi"/>
          <w:spacing w:val="-2"/>
          <w:sz w:val="20"/>
          <w:szCs w:val="20"/>
        </w:rPr>
        <w:t xml:space="preserve">Pi H, Wang Z, Liu M, Deng P, Yu Z, Zhou Z, Gao F. SCD1 activation impedes foam cell formation by inducing lipophagy in oxLDL-treated human vascular smooth muscle cells. J Cell Mol Med. 2019; 23:5259-69. </w:t>
      </w:r>
    </w:p>
    <w:p w14:paraId="74277725"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127" w:tgtFrame="_blank" w:history="1">
        <w:r w:rsidRPr="00C10BBC">
          <w:rPr>
            <w:rFonts w:ascii="Calibri" w:eastAsia="Times New Roman" w:hAnsi="Calibri" w:cstheme="minorHAnsi"/>
            <w:color w:val="0000FF"/>
            <w:spacing w:val="-2"/>
            <w:sz w:val="20"/>
            <w:szCs w:val="20"/>
            <w:u w:val="single"/>
          </w:rPr>
          <w:t>https://doi.org/10.1111/jcmm.14401</w:t>
        </w:r>
      </w:hyperlink>
      <w:r w:rsidRPr="00C10BBC">
        <w:rPr>
          <w:rFonts w:ascii="Calibri" w:eastAsia="Times New Roman" w:hAnsi="Calibri" w:cstheme="minorHAnsi"/>
          <w:spacing w:val="-2"/>
          <w:sz w:val="20"/>
          <w:szCs w:val="20"/>
        </w:rPr>
        <w:t xml:space="preserve"> </w:t>
      </w:r>
    </w:p>
    <w:p w14:paraId="2912C9A4"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128"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31119852</w:t>
        </w:r>
      </w:hyperlink>
      <w:r w:rsidRPr="00C10BBC">
        <w:rPr>
          <w:rFonts w:ascii="Calibri" w:eastAsia="Times New Roman" w:hAnsi="Calibri" w:cstheme="minorHAnsi"/>
          <w:spacing w:val="-2"/>
          <w:sz w:val="20"/>
          <w:szCs w:val="20"/>
        </w:rPr>
        <w:t xml:space="preserve"> </w:t>
      </w:r>
    </w:p>
    <w:p w14:paraId="50CE7484"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62.</w:t>
      </w:r>
      <w:r w:rsidRPr="00C10BBC">
        <w:rPr>
          <w:rFonts w:ascii="Calibri" w:eastAsia="Times New Roman" w:hAnsi="Calibri" w:cstheme="minorHAnsi"/>
          <w:spacing w:val="-2"/>
          <w:sz w:val="20"/>
          <w:szCs w:val="20"/>
        </w:rPr>
        <w:tab/>
      </w:r>
      <w:bookmarkStart w:id="127" w:name="b62"/>
      <w:bookmarkStart w:id="128" w:name="idm1161926736"/>
      <w:bookmarkEnd w:id="127"/>
      <w:bookmarkEnd w:id="128"/>
      <w:r w:rsidRPr="00C10BBC">
        <w:rPr>
          <w:rFonts w:ascii="Calibri" w:eastAsia="Times New Roman" w:hAnsi="Calibri" w:cstheme="minorHAnsi"/>
          <w:spacing w:val="-2"/>
          <w:sz w:val="20"/>
          <w:szCs w:val="20"/>
        </w:rPr>
        <w:t xml:space="preserve">Wang F, Xia W, Liu F, Li J, Wang G, Gu J. Interferon regulator factor 1/retinoic inducible gene I (IRF1/RIG-I) axis mediates 25-hydroxycholesterol-induced interleukin-8 production in atherosclerosis. Cardiovasc Res. 2012; 93:190-99. </w:t>
      </w:r>
    </w:p>
    <w:p w14:paraId="1B58C0ED"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129" w:tgtFrame="_blank" w:history="1">
        <w:r w:rsidRPr="00C10BBC">
          <w:rPr>
            <w:rFonts w:ascii="Calibri" w:eastAsia="Times New Roman" w:hAnsi="Calibri" w:cstheme="minorHAnsi"/>
            <w:color w:val="0000FF"/>
            <w:spacing w:val="-2"/>
            <w:sz w:val="20"/>
            <w:szCs w:val="20"/>
            <w:u w:val="single"/>
          </w:rPr>
          <w:t>https://doi.org/10.1093/cvr/cvr260</w:t>
        </w:r>
      </w:hyperlink>
      <w:r w:rsidRPr="00C10BBC">
        <w:rPr>
          <w:rFonts w:ascii="Calibri" w:eastAsia="Times New Roman" w:hAnsi="Calibri" w:cstheme="minorHAnsi"/>
          <w:spacing w:val="-2"/>
          <w:sz w:val="20"/>
          <w:szCs w:val="20"/>
        </w:rPr>
        <w:t xml:space="preserve"> </w:t>
      </w:r>
    </w:p>
    <w:p w14:paraId="36EDF6D3"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130"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21979142</w:t>
        </w:r>
      </w:hyperlink>
      <w:r w:rsidRPr="00C10BBC">
        <w:rPr>
          <w:rFonts w:ascii="Calibri" w:eastAsia="Times New Roman" w:hAnsi="Calibri" w:cstheme="minorHAnsi"/>
          <w:spacing w:val="-2"/>
          <w:sz w:val="20"/>
          <w:szCs w:val="20"/>
        </w:rPr>
        <w:t xml:space="preserve"> </w:t>
      </w:r>
    </w:p>
    <w:p w14:paraId="6222D55E"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63.</w:t>
      </w:r>
      <w:r w:rsidRPr="00C10BBC">
        <w:rPr>
          <w:rFonts w:ascii="Calibri" w:eastAsia="Times New Roman" w:hAnsi="Calibri" w:cstheme="minorHAnsi"/>
          <w:spacing w:val="-2"/>
          <w:sz w:val="20"/>
          <w:szCs w:val="20"/>
        </w:rPr>
        <w:tab/>
      </w:r>
      <w:bookmarkStart w:id="129" w:name="b63"/>
      <w:bookmarkStart w:id="130" w:name="idm1172369120"/>
      <w:bookmarkEnd w:id="129"/>
      <w:bookmarkEnd w:id="130"/>
      <w:r w:rsidRPr="00C10BBC">
        <w:rPr>
          <w:rFonts w:ascii="Calibri" w:eastAsia="Times New Roman" w:hAnsi="Calibri" w:cstheme="minorHAnsi"/>
          <w:spacing w:val="-2"/>
          <w:sz w:val="20"/>
          <w:szCs w:val="20"/>
        </w:rPr>
        <w:t xml:space="preserve">Du M, Wang X, Mao X, Yang L, Huang K, Zhang F, Wang Y, Luo X, Wang C, Peng J, Liang M, Huang D, Huang K. Absence of Interferon Regulatory Factor 1 Protects Against Atherosclerosis in Apolipoprotein E-Deficient Mice. Theranostics. 2019; 9:4688-703. </w:t>
      </w:r>
    </w:p>
    <w:p w14:paraId="6D605362"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131" w:tgtFrame="_blank" w:history="1">
        <w:r w:rsidRPr="00C10BBC">
          <w:rPr>
            <w:rFonts w:ascii="Calibri" w:eastAsia="Times New Roman" w:hAnsi="Calibri" w:cstheme="minorHAnsi"/>
            <w:color w:val="0000FF"/>
            <w:spacing w:val="-2"/>
            <w:sz w:val="20"/>
            <w:szCs w:val="20"/>
            <w:u w:val="single"/>
          </w:rPr>
          <w:t>https://doi.org/10.7150/thno.36862</w:t>
        </w:r>
      </w:hyperlink>
      <w:r w:rsidRPr="00C10BBC">
        <w:rPr>
          <w:rFonts w:ascii="Calibri" w:eastAsia="Times New Roman" w:hAnsi="Calibri" w:cstheme="minorHAnsi"/>
          <w:spacing w:val="-2"/>
          <w:sz w:val="20"/>
          <w:szCs w:val="20"/>
        </w:rPr>
        <w:t xml:space="preserve"> </w:t>
      </w:r>
    </w:p>
    <w:p w14:paraId="236BC772"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132"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31367250</w:t>
        </w:r>
      </w:hyperlink>
      <w:r w:rsidRPr="00C10BBC">
        <w:rPr>
          <w:rFonts w:ascii="Calibri" w:eastAsia="Times New Roman" w:hAnsi="Calibri" w:cstheme="minorHAnsi"/>
          <w:spacing w:val="-2"/>
          <w:sz w:val="20"/>
          <w:szCs w:val="20"/>
        </w:rPr>
        <w:t xml:space="preserve"> </w:t>
      </w:r>
    </w:p>
    <w:p w14:paraId="78CF2904"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64.</w:t>
      </w:r>
      <w:r w:rsidRPr="00C10BBC">
        <w:rPr>
          <w:rFonts w:ascii="Calibri" w:eastAsia="Times New Roman" w:hAnsi="Calibri" w:cstheme="minorHAnsi"/>
          <w:spacing w:val="-2"/>
          <w:sz w:val="20"/>
          <w:szCs w:val="20"/>
        </w:rPr>
        <w:tab/>
      </w:r>
      <w:bookmarkStart w:id="131" w:name="b64"/>
      <w:bookmarkStart w:id="132" w:name="idm1157258576"/>
      <w:bookmarkEnd w:id="131"/>
      <w:bookmarkEnd w:id="132"/>
      <w:r w:rsidRPr="00C10BBC">
        <w:rPr>
          <w:rFonts w:ascii="Calibri" w:eastAsia="Times New Roman" w:hAnsi="Calibri" w:cstheme="minorHAnsi"/>
          <w:spacing w:val="-2"/>
          <w:sz w:val="20"/>
          <w:szCs w:val="20"/>
        </w:rPr>
        <w:t xml:space="preserve">Albasanz-Puig A, Murray J, Preusch M, Coan D, Namekata M, Patel Y, Dong ZM, Rosenfeld ME, Wijelath ES. Oncostatin M is expressed in atherosclerotic lesions: a role for Oncostatin M in the pathogenesis of atherosclerosis. Atherosclerosis. 2011; 216:292-98. </w:t>
      </w:r>
    </w:p>
    <w:p w14:paraId="3E657F08"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133" w:tgtFrame="_blank" w:history="1">
        <w:r w:rsidRPr="00C10BBC">
          <w:rPr>
            <w:rFonts w:ascii="Calibri" w:eastAsia="Times New Roman" w:hAnsi="Calibri" w:cstheme="minorHAnsi"/>
            <w:color w:val="0000FF"/>
            <w:spacing w:val="-2"/>
            <w:sz w:val="20"/>
            <w:szCs w:val="20"/>
            <w:u w:val="single"/>
          </w:rPr>
          <w:t>https://doi.org/10.1016/j.atherosclerosis.2011.02.003</w:t>
        </w:r>
      </w:hyperlink>
      <w:r w:rsidRPr="00C10BBC">
        <w:rPr>
          <w:rFonts w:ascii="Calibri" w:eastAsia="Times New Roman" w:hAnsi="Calibri" w:cstheme="minorHAnsi"/>
          <w:spacing w:val="-2"/>
          <w:sz w:val="20"/>
          <w:szCs w:val="20"/>
        </w:rPr>
        <w:t xml:space="preserve"> </w:t>
      </w:r>
    </w:p>
    <w:p w14:paraId="56C7240E"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134"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21376322</w:t>
        </w:r>
      </w:hyperlink>
      <w:r w:rsidRPr="00C10BBC">
        <w:rPr>
          <w:rFonts w:ascii="Calibri" w:eastAsia="Times New Roman" w:hAnsi="Calibri" w:cstheme="minorHAnsi"/>
          <w:spacing w:val="-2"/>
          <w:sz w:val="20"/>
          <w:szCs w:val="20"/>
        </w:rPr>
        <w:t xml:space="preserve"> </w:t>
      </w:r>
    </w:p>
    <w:p w14:paraId="30BF183C"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65.</w:t>
      </w:r>
      <w:r w:rsidRPr="00C10BBC">
        <w:rPr>
          <w:rFonts w:ascii="Calibri" w:eastAsia="Times New Roman" w:hAnsi="Calibri" w:cstheme="minorHAnsi"/>
          <w:spacing w:val="-2"/>
          <w:sz w:val="20"/>
          <w:szCs w:val="20"/>
        </w:rPr>
        <w:tab/>
      </w:r>
      <w:bookmarkStart w:id="133" w:name="b65"/>
      <w:bookmarkStart w:id="134" w:name="idm1172133440"/>
      <w:bookmarkEnd w:id="133"/>
      <w:bookmarkEnd w:id="134"/>
      <w:r w:rsidRPr="00C10BBC">
        <w:rPr>
          <w:rFonts w:ascii="Calibri" w:eastAsia="Times New Roman" w:hAnsi="Calibri" w:cstheme="minorHAnsi"/>
          <w:spacing w:val="-2"/>
          <w:sz w:val="20"/>
          <w:szCs w:val="20"/>
        </w:rPr>
        <w:t xml:space="preserve">Westmuckett AD, Moore KL. Lack of tyrosylprotein sulfotransferase activity in hematopoietic cells drastically attenuates atherosclerosis in Ldlr-/- mice. Arterioscler Thromb Vasc Biol. 2009; 29:1730-36. </w:t>
      </w:r>
    </w:p>
    <w:p w14:paraId="2E1185E6"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135" w:tgtFrame="_blank" w:history="1">
        <w:r w:rsidRPr="00C10BBC">
          <w:rPr>
            <w:rFonts w:ascii="Calibri" w:eastAsia="Times New Roman" w:hAnsi="Calibri" w:cstheme="minorHAnsi"/>
            <w:color w:val="0000FF"/>
            <w:spacing w:val="-2"/>
            <w:sz w:val="20"/>
            <w:szCs w:val="20"/>
            <w:u w:val="single"/>
          </w:rPr>
          <w:t>https://doi.org/10.1161/ATVBAHA.109.192963</w:t>
        </w:r>
      </w:hyperlink>
      <w:r w:rsidRPr="00C10BBC">
        <w:rPr>
          <w:rFonts w:ascii="Calibri" w:eastAsia="Times New Roman" w:hAnsi="Calibri" w:cstheme="minorHAnsi"/>
          <w:spacing w:val="-2"/>
          <w:sz w:val="20"/>
          <w:szCs w:val="20"/>
        </w:rPr>
        <w:t xml:space="preserve"> </w:t>
      </w:r>
    </w:p>
    <w:p w14:paraId="714A82B2"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136"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19679829</w:t>
        </w:r>
      </w:hyperlink>
      <w:r w:rsidRPr="00C10BBC">
        <w:rPr>
          <w:rFonts w:ascii="Calibri" w:eastAsia="Times New Roman" w:hAnsi="Calibri" w:cstheme="minorHAnsi"/>
          <w:spacing w:val="-2"/>
          <w:sz w:val="20"/>
          <w:szCs w:val="20"/>
        </w:rPr>
        <w:t xml:space="preserve"> </w:t>
      </w:r>
    </w:p>
    <w:p w14:paraId="5284E511"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66.</w:t>
      </w:r>
      <w:r w:rsidRPr="00C10BBC">
        <w:rPr>
          <w:rFonts w:ascii="Calibri" w:eastAsia="Times New Roman" w:hAnsi="Calibri" w:cstheme="minorHAnsi"/>
          <w:spacing w:val="-2"/>
          <w:sz w:val="20"/>
          <w:szCs w:val="20"/>
        </w:rPr>
        <w:tab/>
      </w:r>
      <w:bookmarkStart w:id="135" w:name="b66"/>
      <w:bookmarkStart w:id="136" w:name="idm975043216"/>
      <w:bookmarkEnd w:id="135"/>
      <w:bookmarkEnd w:id="136"/>
      <w:r w:rsidRPr="00C10BBC">
        <w:rPr>
          <w:rFonts w:ascii="Calibri" w:eastAsia="Times New Roman" w:hAnsi="Calibri" w:cstheme="minorHAnsi"/>
          <w:spacing w:val="-2"/>
          <w:sz w:val="20"/>
          <w:szCs w:val="20"/>
        </w:rPr>
        <w:t xml:space="preserve">Mendez-Barbero N, Esteban V, Villahoz S, Escolano A, Urso K, Alfranca A, Rodriguez C, Sanchez SA, Osawa T, Andres V, Martinez-Gonzalez J, Minami T, Redondo JM, Campanero MR. A major role for RCAN1 in atherosclerosis progression. EMBO Mol Med. 2013; 5:1901-17. </w:t>
      </w:r>
    </w:p>
    <w:p w14:paraId="4F54A780"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137" w:tgtFrame="_blank" w:history="1">
        <w:r w:rsidRPr="00C10BBC">
          <w:rPr>
            <w:rFonts w:ascii="Calibri" w:eastAsia="Times New Roman" w:hAnsi="Calibri" w:cstheme="minorHAnsi"/>
            <w:color w:val="0000FF"/>
            <w:spacing w:val="-2"/>
            <w:sz w:val="20"/>
            <w:szCs w:val="20"/>
            <w:u w:val="single"/>
          </w:rPr>
          <w:t>https://doi.org/10.1002/emmm.201302842</w:t>
        </w:r>
      </w:hyperlink>
      <w:r w:rsidRPr="00C10BBC">
        <w:rPr>
          <w:rFonts w:ascii="Calibri" w:eastAsia="Times New Roman" w:hAnsi="Calibri" w:cstheme="minorHAnsi"/>
          <w:spacing w:val="-2"/>
          <w:sz w:val="20"/>
          <w:szCs w:val="20"/>
        </w:rPr>
        <w:t xml:space="preserve"> </w:t>
      </w:r>
    </w:p>
    <w:p w14:paraId="7DAAA9AB"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138"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24127415</w:t>
        </w:r>
      </w:hyperlink>
      <w:r w:rsidRPr="00C10BBC">
        <w:rPr>
          <w:rFonts w:ascii="Calibri" w:eastAsia="Times New Roman" w:hAnsi="Calibri" w:cstheme="minorHAnsi"/>
          <w:spacing w:val="-2"/>
          <w:sz w:val="20"/>
          <w:szCs w:val="20"/>
        </w:rPr>
        <w:t xml:space="preserve"> </w:t>
      </w:r>
    </w:p>
    <w:p w14:paraId="173C12F7"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67.</w:t>
      </w:r>
      <w:r w:rsidRPr="00C10BBC">
        <w:rPr>
          <w:rFonts w:ascii="Calibri" w:eastAsia="Times New Roman" w:hAnsi="Calibri" w:cstheme="minorHAnsi"/>
          <w:spacing w:val="-2"/>
          <w:sz w:val="20"/>
          <w:szCs w:val="20"/>
        </w:rPr>
        <w:tab/>
      </w:r>
      <w:bookmarkStart w:id="137" w:name="b67"/>
      <w:bookmarkStart w:id="138" w:name="idm977816032"/>
      <w:bookmarkEnd w:id="137"/>
      <w:bookmarkEnd w:id="138"/>
      <w:r w:rsidRPr="00C10BBC">
        <w:rPr>
          <w:rFonts w:ascii="Calibri" w:eastAsia="Times New Roman" w:hAnsi="Calibri" w:cstheme="minorHAnsi"/>
          <w:spacing w:val="-2"/>
          <w:sz w:val="20"/>
          <w:szCs w:val="20"/>
        </w:rPr>
        <w:t xml:space="preserve">Zhou Y, Miles JR, Tavori H, Lin M, Khoshbouei H, Borchelt DR, Bazick H, Landreth GE, Lee S, Fazio S, Notterpek L. PMP22 Regulates Cholesterol Trafficking and ABCA1-Mediated Cholesterol Efflux. J Neurosci. 2019; 39:5404-18. </w:t>
      </w:r>
    </w:p>
    <w:p w14:paraId="76B03B5C"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139" w:tgtFrame="_blank" w:history="1">
        <w:r w:rsidRPr="00C10BBC">
          <w:rPr>
            <w:rFonts w:ascii="Calibri" w:eastAsia="Times New Roman" w:hAnsi="Calibri" w:cstheme="minorHAnsi"/>
            <w:color w:val="0000FF"/>
            <w:spacing w:val="-2"/>
            <w:sz w:val="20"/>
            <w:szCs w:val="20"/>
            <w:u w:val="single"/>
          </w:rPr>
          <w:t>https://doi.org/10.1523/JNEUROSCI.2942-18.2019</w:t>
        </w:r>
      </w:hyperlink>
      <w:r w:rsidRPr="00C10BBC">
        <w:rPr>
          <w:rFonts w:ascii="Calibri" w:eastAsia="Times New Roman" w:hAnsi="Calibri" w:cstheme="minorHAnsi"/>
          <w:spacing w:val="-2"/>
          <w:sz w:val="20"/>
          <w:szCs w:val="20"/>
        </w:rPr>
        <w:t xml:space="preserve"> </w:t>
      </w:r>
    </w:p>
    <w:p w14:paraId="61E22A03"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140"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31061090</w:t>
        </w:r>
      </w:hyperlink>
      <w:r w:rsidRPr="00C10BBC">
        <w:rPr>
          <w:rFonts w:ascii="Calibri" w:eastAsia="Times New Roman" w:hAnsi="Calibri" w:cstheme="minorHAnsi"/>
          <w:spacing w:val="-2"/>
          <w:sz w:val="20"/>
          <w:szCs w:val="20"/>
        </w:rPr>
        <w:t xml:space="preserve"> </w:t>
      </w:r>
    </w:p>
    <w:p w14:paraId="3C729D04"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68.</w:t>
      </w:r>
      <w:r w:rsidRPr="00C10BBC">
        <w:rPr>
          <w:rFonts w:ascii="Calibri" w:eastAsia="Times New Roman" w:hAnsi="Calibri" w:cstheme="minorHAnsi"/>
          <w:spacing w:val="-2"/>
          <w:sz w:val="20"/>
          <w:szCs w:val="20"/>
        </w:rPr>
        <w:tab/>
      </w:r>
      <w:bookmarkStart w:id="139" w:name="b68"/>
      <w:bookmarkStart w:id="140" w:name="idm1007611664"/>
      <w:bookmarkEnd w:id="139"/>
      <w:bookmarkEnd w:id="140"/>
      <w:r w:rsidRPr="00C10BBC">
        <w:rPr>
          <w:rFonts w:ascii="Calibri" w:eastAsia="Times New Roman" w:hAnsi="Calibri" w:cstheme="minorHAnsi"/>
          <w:spacing w:val="-2"/>
          <w:sz w:val="20"/>
          <w:szCs w:val="20"/>
        </w:rPr>
        <w:t xml:space="preserve">Mill C, Monk BA, Williams H, Simmonds SJ, Jeremy JY, Johnson JL, George SJ. Wnt5a-induced Wnt1-inducible secreted protein-1 suppresses vascular smooth muscle cell apoptosis induced by oxidative stress. Arterioscler Thromb Vasc Biol. 2014; 34:2449-56. </w:t>
      </w:r>
    </w:p>
    <w:p w14:paraId="13FE79D3"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141" w:tgtFrame="_blank" w:history="1">
        <w:r w:rsidRPr="00C10BBC">
          <w:rPr>
            <w:rFonts w:ascii="Calibri" w:eastAsia="Times New Roman" w:hAnsi="Calibri" w:cstheme="minorHAnsi"/>
            <w:color w:val="0000FF"/>
            <w:spacing w:val="-2"/>
            <w:sz w:val="20"/>
            <w:szCs w:val="20"/>
            <w:u w:val="single"/>
          </w:rPr>
          <w:t>https://doi.org/10.1161/ATVBAHA.114.303922</w:t>
        </w:r>
      </w:hyperlink>
      <w:r w:rsidRPr="00C10BBC">
        <w:rPr>
          <w:rFonts w:ascii="Calibri" w:eastAsia="Times New Roman" w:hAnsi="Calibri" w:cstheme="minorHAnsi"/>
          <w:spacing w:val="-2"/>
          <w:sz w:val="20"/>
          <w:szCs w:val="20"/>
        </w:rPr>
        <w:t xml:space="preserve"> </w:t>
      </w:r>
    </w:p>
    <w:p w14:paraId="24943F30"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142"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25212236</w:t>
        </w:r>
      </w:hyperlink>
      <w:r w:rsidRPr="00C10BBC">
        <w:rPr>
          <w:rFonts w:ascii="Calibri" w:eastAsia="Times New Roman" w:hAnsi="Calibri" w:cstheme="minorHAnsi"/>
          <w:spacing w:val="-2"/>
          <w:sz w:val="20"/>
          <w:szCs w:val="20"/>
        </w:rPr>
        <w:t xml:space="preserve"> </w:t>
      </w:r>
    </w:p>
    <w:p w14:paraId="6648DC5E"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69.</w:t>
      </w:r>
      <w:r w:rsidRPr="00C10BBC">
        <w:rPr>
          <w:rFonts w:ascii="Calibri" w:eastAsia="Times New Roman" w:hAnsi="Calibri" w:cstheme="minorHAnsi"/>
          <w:spacing w:val="-2"/>
          <w:sz w:val="20"/>
          <w:szCs w:val="20"/>
        </w:rPr>
        <w:tab/>
      </w:r>
      <w:bookmarkStart w:id="141" w:name="b69"/>
      <w:bookmarkStart w:id="142" w:name="idm1171507360"/>
      <w:bookmarkEnd w:id="141"/>
      <w:bookmarkEnd w:id="142"/>
      <w:r w:rsidRPr="00C10BBC">
        <w:rPr>
          <w:rFonts w:ascii="Calibri" w:eastAsia="Times New Roman" w:hAnsi="Calibri" w:cstheme="minorHAnsi"/>
          <w:spacing w:val="-2"/>
          <w:sz w:val="20"/>
          <w:szCs w:val="20"/>
        </w:rPr>
        <w:t xml:space="preserve">Fredman G, Hellmann J, Proto JD, Kuriakose G, Colas RA, Dorweiler B, Connolly ES, Solomon R, Jones DM, Heyer EJ, Spite M, Tabas I. An imbalance between specialized pro-resolving lipid mediators and pro-inflammatory leukotrienes promotes instability of atherosclerotic plaques. Nat Commun. 2016; 7:12859. </w:t>
      </w:r>
    </w:p>
    <w:p w14:paraId="143AEA60"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143" w:tgtFrame="_blank" w:history="1">
        <w:r w:rsidRPr="00C10BBC">
          <w:rPr>
            <w:rFonts w:ascii="Calibri" w:eastAsia="Times New Roman" w:hAnsi="Calibri" w:cstheme="minorHAnsi"/>
            <w:color w:val="0000FF"/>
            <w:spacing w:val="-2"/>
            <w:sz w:val="20"/>
            <w:szCs w:val="20"/>
            <w:u w:val="single"/>
          </w:rPr>
          <w:t>https://doi.org/10.1038/ncomms12859</w:t>
        </w:r>
      </w:hyperlink>
      <w:r w:rsidRPr="00C10BBC">
        <w:rPr>
          <w:rFonts w:ascii="Calibri" w:eastAsia="Times New Roman" w:hAnsi="Calibri" w:cstheme="minorHAnsi"/>
          <w:spacing w:val="-2"/>
          <w:sz w:val="20"/>
          <w:szCs w:val="20"/>
        </w:rPr>
        <w:t xml:space="preserve"> </w:t>
      </w:r>
    </w:p>
    <w:p w14:paraId="333E31C1"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144"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27659679</w:t>
        </w:r>
      </w:hyperlink>
      <w:r w:rsidRPr="00C10BBC">
        <w:rPr>
          <w:rFonts w:ascii="Calibri" w:eastAsia="Times New Roman" w:hAnsi="Calibri" w:cstheme="minorHAnsi"/>
          <w:spacing w:val="-2"/>
          <w:sz w:val="20"/>
          <w:szCs w:val="20"/>
        </w:rPr>
        <w:t xml:space="preserve"> </w:t>
      </w:r>
    </w:p>
    <w:p w14:paraId="74077A86"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70.</w:t>
      </w:r>
      <w:r w:rsidRPr="00C10BBC">
        <w:rPr>
          <w:rFonts w:ascii="Calibri" w:eastAsia="Times New Roman" w:hAnsi="Calibri" w:cstheme="minorHAnsi"/>
          <w:spacing w:val="-2"/>
          <w:sz w:val="20"/>
          <w:szCs w:val="20"/>
        </w:rPr>
        <w:tab/>
      </w:r>
      <w:bookmarkStart w:id="143" w:name="b70"/>
      <w:bookmarkStart w:id="144" w:name="idm1162231024"/>
      <w:bookmarkEnd w:id="143"/>
      <w:bookmarkEnd w:id="144"/>
      <w:r w:rsidRPr="00C10BBC">
        <w:rPr>
          <w:rFonts w:ascii="Calibri" w:eastAsia="Times New Roman" w:hAnsi="Calibri" w:cstheme="minorHAnsi"/>
          <w:spacing w:val="-2"/>
          <w:sz w:val="20"/>
          <w:szCs w:val="20"/>
        </w:rPr>
        <w:t xml:space="preserve">Wang D, Yang Y, Lei Y, Tzvetkov NT, Liu X, Yeung AW, Xu S, Atanasov AG. Targeting Foam Cell Formation in Atherosclerosis: Therapeutic Potential of Natural Products. Pharmacol Rev. 2019; 71:596-670. </w:t>
      </w:r>
    </w:p>
    <w:p w14:paraId="5DF45679"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145" w:tgtFrame="_blank" w:history="1">
        <w:r w:rsidRPr="00C10BBC">
          <w:rPr>
            <w:rFonts w:ascii="Calibri" w:eastAsia="Times New Roman" w:hAnsi="Calibri" w:cstheme="minorHAnsi"/>
            <w:color w:val="0000FF"/>
            <w:spacing w:val="-2"/>
            <w:sz w:val="20"/>
            <w:szCs w:val="20"/>
            <w:u w:val="single"/>
          </w:rPr>
          <w:t>https://doi.org/10.1124/pr.118.017178</w:t>
        </w:r>
      </w:hyperlink>
      <w:r w:rsidRPr="00C10BBC">
        <w:rPr>
          <w:rFonts w:ascii="Calibri" w:eastAsia="Times New Roman" w:hAnsi="Calibri" w:cstheme="minorHAnsi"/>
          <w:spacing w:val="-2"/>
          <w:sz w:val="20"/>
          <w:szCs w:val="20"/>
        </w:rPr>
        <w:t xml:space="preserve"> </w:t>
      </w:r>
    </w:p>
    <w:p w14:paraId="01A63A1A"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146"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31554644</w:t>
        </w:r>
      </w:hyperlink>
      <w:r w:rsidRPr="00C10BBC">
        <w:rPr>
          <w:rFonts w:ascii="Calibri" w:eastAsia="Times New Roman" w:hAnsi="Calibri" w:cstheme="minorHAnsi"/>
          <w:spacing w:val="-2"/>
          <w:sz w:val="20"/>
          <w:szCs w:val="20"/>
        </w:rPr>
        <w:t xml:space="preserve"> </w:t>
      </w:r>
    </w:p>
    <w:p w14:paraId="610F9843"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71.</w:t>
      </w:r>
      <w:r w:rsidRPr="00C10BBC">
        <w:rPr>
          <w:rFonts w:ascii="Calibri" w:eastAsia="Times New Roman" w:hAnsi="Calibri" w:cstheme="minorHAnsi"/>
          <w:spacing w:val="-2"/>
          <w:sz w:val="20"/>
          <w:szCs w:val="20"/>
        </w:rPr>
        <w:tab/>
      </w:r>
      <w:bookmarkStart w:id="145" w:name="b71"/>
      <w:bookmarkStart w:id="146" w:name="idm1162677264"/>
      <w:bookmarkEnd w:id="145"/>
      <w:bookmarkEnd w:id="146"/>
      <w:r w:rsidRPr="00C10BBC">
        <w:rPr>
          <w:rFonts w:ascii="Calibri" w:eastAsia="Times New Roman" w:hAnsi="Calibri" w:cstheme="minorHAnsi"/>
          <w:spacing w:val="-2"/>
          <w:sz w:val="20"/>
          <w:szCs w:val="20"/>
        </w:rPr>
        <w:t xml:space="preserve">Zhang L, McCabe T, Condra JH, Ni YG, Peterson LB, Wang W, Strack AM, Wang F, Pandit S, Hammond H, Wood D, Lewis D, Rosa R, et al. An anti-PCSK9 antibody reduces LDL-cholesterol on top of a statin and suppresses hepatocyte SREBP-regulated genes. Int J Biol Sci. 2012; 8:310-27. </w:t>
      </w:r>
    </w:p>
    <w:p w14:paraId="2E51319C"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147" w:tgtFrame="_blank" w:history="1">
        <w:r w:rsidRPr="00C10BBC">
          <w:rPr>
            <w:rFonts w:ascii="Calibri" w:eastAsia="Times New Roman" w:hAnsi="Calibri" w:cstheme="minorHAnsi"/>
            <w:color w:val="0000FF"/>
            <w:spacing w:val="-2"/>
            <w:sz w:val="20"/>
            <w:szCs w:val="20"/>
            <w:u w:val="single"/>
          </w:rPr>
          <w:t>https://doi.org/10.7150/ijbs.3524</w:t>
        </w:r>
      </w:hyperlink>
      <w:r w:rsidRPr="00C10BBC">
        <w:rPr>
          <w:rFonts w:ascii="Calibri" w:eastAsia="Times New Roman" w:hAnsi="Calibri" w:cstheme="minorHAnsi"/>
          <w:spacing w:val="-2"/>
          <w:sz w:val="20"/>
          <w:szCs w:val="20"/>
        </w:rPr>
        <w:t xml:space="preserve"> </w:t>
      </w:r>
    </w:p>
    <w:p w14:paraId="7BE908DB"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148"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22355267</w:t>
        </w:r>
      </w:hyperlink>
      <w:r w:rsidRPr="00C10BBC">
        <w:rPr>
          <w:rFonts w:ascii="Calibri" w:eastAsia="Times New Roman" w:hAnsi="Calibri" w:cstheme="minorHAnsi"/>
          <w:spacing w:val="-2"/>
          <w:sz w:val="20"/>
          <w:szCs w:val="20"/>
        </w:rPr>
        <w:t xml:space="preserve"> </w:t>
      </w:r>
    </w:p>
    <w:p w14:paraId="3605BBEF"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72.</w:t>
      </w:r>
      <w:r w:rsidRPr="00C10BBC">
        <w:rPr>
          <w:rFonts w:ascii="Calibri" w:eastAsia="Times New Roman" w:hAnsi="Calibri" w:cstheme="minorHAnsi"/>
          <w:spacing w:val="-2"/>
          <w:sz w:val="20"/>
          <w:szCs w:val="20"/>
        </w:rPr>
        <w:tab/>
      </w:r>
      <w:bookmarkStart w:id="147" w:name="b72"/>
      <w:bookmarkStart w:id="148" w:name="idm1171372960"/>
      <w:bookmarkEnd w:id="147"/>
      <w:bookmarkEnd w:id="148"/>
      <w:r w:rsidRPr="00C10BBC">
        <w:rPr>
          <w:rFonts w:ascii="Calibri" w:eastAsia="Times New Roman" w:hAnsi="Calibri" w:cstheme="minorHAnsi"/>
          <w:spacing w:val="-2"/>
          <w:sz w:val="20"/>
          <w:szCs w:val="20"/>
        </w:rPr>
        <w:t xml:space="preserve">Saito R, Matsuzaka T, Karasawa T, Sekiya M, Okada N, Igarashi M, Matsumori R, Ishii K, Nakagawa Y, Iwasaki H, Kobayashi K, Yatoh S, Takahashi A, et al. Macrophage Elovl6 deficiency ameliorates foam cell formation and reduces atherosclerosis in low-density lipoprotein receptor-deficient mice. Arterioscler Thromb Vasc Biol. 2011; 31:1973-79. </w:t>
      </w:r>
    </w:p>
    <w:p w14:paraId="15079BC4"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149" w:tgtFrame="_blank" w:history="1">
        <w:r w:rsidRPr="00C10BBC">
          <w:rPr>
            <w:rFonts w:ascii="Calibri" w:eastAsia="Times New Roman" w:hAnsi="Calibri" w:cstheme="minorHAnsi"/>
            <w:color w:val="0000FF"/>
            <w:spacing w:val="-2"/>
            <w:sz w:val="20"/>
            <w:szCs w:val="20"/>
            <w:u w:val="single"/>
          </w:rPr>
          <w:t>https://doi.org/10.1161/ATVBAHA.110.221663</w:t>
        </w:r>
      </w:hyperlink>
      <w:r w:rsidRPr="00C10BBC">
        <w:rPr>
          <w:rFonts w:ascii="Calibri" w:eastAsia="Times New Roman" w:hAnsi="Calibri" w:cstheme="minorHAnsi"/>
          <w:spacing w:val="-2"/>
          <w:sz w:val="20"/>
          <w:szCs w:val="20"/>
        </w:rPr>
        <w:t xml:space="preserve"> </w:t>
      </w:r>
    </w:p>
    <w:p w14:paraId="5FEF5CCF"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150"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21817094</w:t>
        </w:r>
      </w:hyperlink>
      <w:r w:rsidRPr="00C10BBC">
        <w:rPr>
          <w:rFonts w:ascii="Calibri" w:eastAsia="Times New Roman" w:hAnsi="Calibri" w:cstheme="minorHAnsi"/>
          <w:spacing w:val="-2"/>
          <w:sz w:val="20"/>
          <w:szCs w:val="20"/>
        </w:rPr>
        <w:t xml:space="preserve"> </w:t>
      </w:r>
    </w:p>
    <w:p w14:paraId="7CC84A49"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73.</w:t>
      </w:r>
      <w:r w:rsidRPr="00C10BBC">
        <w:rPr>
          <w:rFonts w:ascii="Calibri" w:eastAsia="Times New Roman" w:hAnsi="Calibri" w:cstheme="minorHAnsi"/>
          <w:spacing w:val="-2"/>
          <w:sz w:val="20"/>
          <w:szCs w:val="20"/>
        </w:rPr>
        <w:tab/>
      </w:r>
      <w:bookmarkStart w:id="149" w:name="b73"/>
      <w:bookmarkStart w:id="150" w:name="idm1169401648"/>
      <w:bookmarkEnd w:id="149"/>
      <w:bookmarkEnd w:id="150"/>
      <w:r w:rsidRPr="00C10BBC">
        <w:rPr>
          <w:rFonts w:ascii="Calibri" w:eastAsia="Times New Roman" w:hAnsi="Calibri" w:cstheme="minorHAnsi"/>
          <w:spacing w:val="-2"/>
          <w:sz w:val="20"/>
          <w:szCs w:val="20"/>
        </w:rPr>
        <w:t xml:space="preserve">Jian D, Wang W, Zhou X, Jia Z, Wang J, Yang M, Zhao W, Jiang Z, Hu X, Zhu J. Interferon-induced protein 35 inhibits endothelial cell proliferation, migration and re-endothelialization of injured arteries by inhibiting the nuclear factor-kappa B pathway. Acta Physiol (Oxf). 2018; 223:e13037. </w:t>
      </w:r>
    </w:p>
    <w:p w14:paraId="2AD6D199"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151" w:tgtFrame="_blank" w:history="1">
        <w:r w:rsidRPr="00C10BBC">
          <w:rPr>
            <w:rFonts w:ascii="Calibri" w:eastAsia="Times New Roman" w:hAnsi="Calibri" w:cstheme="minorHAnsi"/>
            <w:color w:val="0000FF"/>
            <w:spacing w:val="-2"/>
            <w:sz w:val="20"/>
            <w:szCs w:val="20"/>
            <w:u w:val="single"/>
          </w:rPr>
          <w:t>https://doi.org/10.1111/apha.13037</w:t>
        </w:r>
      </w:hyperlink>
      <w:r w:rsidRPr="00C10BBC">
        <w:rPr>
          <w:rFonts w:ascii="Calibri" w:eastAsia="Times New Roman" w:hAnsi="Calibri" w:cstheme="minorHAnsi"/>
          <w:spacing w:val="-2"/>
          <w:sz w:val="20"/>
          <w:szCs w:val="20"/>
        </w:rPr>
        <w:t xml:space="preserve"> </w:t>
      </w:r>
    </w:p>
    <w:p w14:paraId="0E33B6D2"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152"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29350881</w:t>
        </w:r>
      </w:hyperlink>
      <w:r w:rsidRPr="00C10BBC">
        <w:rPr>
          <w:rFonts w:ascii="Calibri" w:eastAsia="Times New Roman" w:hAnsi="Calibri" w:cstheme="minorHAnsi"/>
          <w:spacing w:val="-2"/>
          <w:sz w:val="20"/>
          <w:szCs w:val="20"/>
        </w:rPr>
        <w:t xml:space="preserve"> </w:t>
      </w:r>
    </w:p>
    <w:p w14:paraId="70F960C4"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74.</w:t>
      </w:r>
      <w:r w:rsidRPr="00C10BBC">
        <w:rPr>
          <w:rFonts w:ascii="Calibri" w:eastAsia="Times New Roman" w:hAnsi="Calibri" w:cstheme="minorHAnsi"/>
          <w:spacing w:val="-2"/>
          <w:sz w:val="20"/>
          <w:szCs w:val="20"/>
        </w:rPr>
        <w:tab/>
      </w:r>
      <w:bookmarkStart w:id="151" w:name="b74"/>
      <w:bookmarkStart w:id="152" w:name="idm1162681136"/>
      <w:bookmarkEnd w:id="151"/>
      <w:bookmarkEnd w:id="152"/>
      <w:r w:rsidRPr="00C10BBC">
        <w:rPr>
          <w:rFonts w:ascii="Calibri" w:eastAsia="Times New Roman" w:hAnsi="Calibri" w:cstheme="minorHAnsi"/>
          <w:spacing w:val="-2"/>
          <w:sz w:val="20"/>
          <w:szCs w:val="20"/>
        </w:rPr>
        <w:t xml:space="preserve">Irvine KM, Andrews MR, Fernandez-Rojo MA, Schroder K, Burns CJ, Su S, Wilks AF, Parton RG, Hume DA, Sweet MJ. Colony-stimulating factor-1 (CSF-1) delivers a proatherogenic signal to human macrophages. J Leukoc Biol. 2009; 85:278-88. </w:t>
      </w:r>
    </w:p>
    <w:p w14:paraId="2A022E2C"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153" w:tgtFrame="_blank" w:history="1">
        <w:r w:rsidRPr="00C10BBC">
          <w:rPr>
            <w:rFonts w:ascii="Calibri" w:eastAsia="Times New Roman" w:hAnsi="Calibri" w:cstheme="minorHAnsi"/>
            <w:color w:val="0000FF"/>
            <w:spacing w:val="-2"/>
            <w:sz w:val="20"/>
            <w:szCs w:val="20"/>
            <w:u w:val="single"/>
          </w:rPr>
          <w:t>https://doi.org/10.1189/jlb.0808497</w:t>
        </w:r>
      </w:hyperlink>
      <w:r w:rsidRPr="00C10BBC">
        <w:rPr>
          <w:rFonts w:ascii="Calibri" w:eastAsia="Times New Roman" w:hAnsi="Calibri" w:cstheme="minorHAnsi"/>
          <w:spacing w:val="-2"/>
          <w:sz w:val="20"/>
          <w:szCs w:val="20"/>
        </w:rPr>
        <w:t xml:space="preserve"> </w:t>
      </w:r>
    </w:p>
    <w:p w14:paraId="30B22846"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154"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19004987</w:t>
        </w:r>
      </w:hyperlink>
      <w:r w:rsidRPr="00C10BBC">
        <w:rPr>
          <w:rFonts w:ascii="Calibri" w:eastAsia="Times New Roman" w:hAnsi="Calibri" w:cstheme="minorHAnsi"/>
          <w:spacing w:val="-2"/>
          <w:sz w:val="20"/>
          <w:szCs w:val="20"/>
        </w:rPr>
        <w:t xml:space="preserve"> </w:t>
      </w:r>
    </w:p>
    <w:p w14:paraId="3DBFDA8C"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75.</w:t>
      </w:r>
      <w:r w:rsidRPr="00C10BBC">
        <w:rPr>
          <w:rFonts w:ascii="Calibri" w:eastAsia="Times New Roman" w:hAnsi="Calibri" w:cstheme="minorHAnsi"/>
          <w:spacing w:val="-2"/>
          <w:sz w:val="20"/>
          <w:szCs w:val="20"/>
        </w:rPr>
        <w:tab/>
      </w:r>
      <w:bookmarkStart w:id="153" w:name="b75"/>
      <w:bookmarkStart w:id="154" w:name="idm1170134384"/>
      <w:bookmarkEnd w:id="153"/>
      <w:bookmarkEnd w:id="154"/>
      <w:r w:rsidRPr="00C10BBC">
        <w:rPr>
          <w:rFonts w:ascii="Calibri" w:eastAsia="Times New Roman" w:hAnsi="Calibri" w:cstheme="minorHAnsi"/>
          <w:spacing w:val="-2"/>
          <w:sz w:val="20"/>
          <w:szCs w:val="20"/>
        </w:rPr>
        <w:t xml:space="preserve">Huang X, Li Y, Li X, Fan D, Xin HB, Fu M. TRIM14 promotes endothelial activation via activating NF-?B signaling pathway. J Mol Cell Biol. 2020; 12:176-89. </w:t>
      </w:r>
    </w:p>
    <w:p w14:paraId="043013E4"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155" w:tgtFrame="_blank" w:history="1">
        <w:r w:rsidRPr="00C10BBC">
          <w:rPr>
            <w:rFonts w:ascii="Calibri" w:eastAsia="Times New Roman" w:hAnsi="Calibri" w:cstheme="minorHAnsi"/>
            <w:color w:val="0000FF"/>
            <w:spacing w:val="-2"/>
            <w:sz w:val="20"/>
            <w:szCs w:val="20"/>
            <w:u w:val="single"/>
          </w:rPr>
          <w:t>https://doi.org/10.1093/jmcb/mjz040</w:t>
        </w:r>
      </w:hyperlink>
      <w:r w:rsidRPr="00C10BBC">
        <w:rPr>
          <w:rFonts w:ascii="Calibri" w:eastAsia="Times New Roman" w:hAnsi="Calibri" w:cstheme="minorHAnsi"/>
          <w:spacing w:val="-2"/>
          <w:sz w:val="20"/>
          <w:szCs w:val="20"/>
        </w:rPr>
        <w:t xml:space="preserve"> </w:t>
      </w:r>
    </w:p>
    <w:p w14:paraId="4377BBF0"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156"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31070748</w:t>
        </w:r>
      </w:hyperlink>
      <w:r w:rsidRPr="00C10BBC">
        <w:rPr>
          <w:rFonts w:ascii="Calibri" w:eastAsia="Times New Roman" w:hAnsi="Calibri" w:cstheme="minorHAnsi"/>
          <w:spacing w:val="-2"/>
          <w:sz w:val="20"/>
          <w:szCs w:val="20"/>
        </w:rPr>
        <w:t xml:space="preserve"> </w:t>
      </w:r>
    </w:p>
    <w:p w14:paraId="6371C32C"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76.</w:t>
      </w:r>
      <w:r w:rsidRPr="00C10BBC">
        <w:rPr>
          <w:rFonts w:ascii="Calibri" w:eastAsia="Times New Roman" w:hAnsi="Calibri" w:cstheme="minorHAnsi"/>
          <w:spacing w:val="-2"/>
          <w:sz w:val="20"/>
          <w:szCs w:val="20"/>
        </w:rPr>
        <w:tab/>
      </w:r>
      <w:bookmarkStart w:id="155" w:name="b76"/>
      <w:bookmarkStart w:id="156" w:name="idm1151477952"/>
      <w:bookmarkEnd w:id="155"/>
      <w:bookmarkEnd w:id="156"/>
      <w:r w:rsidRPr="00C10BBC">
        <w:rPr>
          <w:rFonts w:ascii="Calibri" w:eastAsia="Times New Roman" w:hAnsi="Calibri" w:cstheme="minorHAnsi"/>
          <w:spacing w:val="-2"/>
          <w:sz w:val="20"/>
          <w:szCs w:val="20"/>
        </w:rPr>
        <w:t xml:space="preserve">Kotla S, Singh NK, Rao GN. ROS via BTK-p300-STAT1-PPAR? signaling activation mediates cholesterol crystals-induced CD36 expression and foam cell formation. Redox Biol. 2017; 11:350-64. </w:t>
      </w:r>
    </w:p>
    <w:p w14:paraId="1E5958C9"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157" w:tgtFrame="_blank" w:history="1">
        <w:r w:rsidRPr="00C10BBC">
          <w:rPr>
            <w:rFonts w:ascii="Calibri" w:eastAsia="Times New Roman" w:hAnsi="Calibri" w:cstheme="minorHAnsi"/>
            <w:color w:val="0000FF"/>
            <w:spacing w:val="-2"/>
            <w:sz w:val="20"/>
            <w:szCs w:val="20"/>
            <w:u w:val="single"/>
          </w:rPr>
          <w:t>https://doi.org/10.1016/j.redox.2016.12.005</w:t>
        </w:r>
      </w:hyperlink>
      <w:r w:rsidRPr="00C10BBC">
        <w:rPr>
          <w:rFonts w:ascii="Calibri" w:eastAsia="Times New Roman" w:hAnsi="Calibri" w:cstheme="minorHAnsi"/>
          <w:spacing w:val="-2"/>
          <w:sz w:val="20"/>
          <w:szCs w:val="20"/>
        </w:rPr>
        <w:t xml:space="preserve"> </w:t>
      </w:r>
    </w:p>
    <w:p w14:paraId="64AFDCC7"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158"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28040583</w:t>
        </w:r>
      </w:hyperlink>
      <w:r w:rsidRPr="00C10BBC">
        <w:rPr>
          <w:rFonts w:ascii="Calibri" w:eastAsia="Times New Roman" w:hAnsi="Calibri" w:cstheme="minorHAnsi"/>
          <w:spacing w:val="-2"/>
          <w:sz w:val="20"/>
          <w:szCs w:val="20"/>
        </w:rPr>
        <w:t xml:space="preserve"> </w:t>
      </w:r>
    </w:p>
    <w:p w14:paraId="49B59C41"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77.</w:t>
      </w:r>
      <w:r w:rsidRPr="00C10BBC">
        <w:rPr>
          <w:rFonts w:ascii="Calibri" w:eastAsia="Times New Roman" w:hAnsi="Calibri" w:cstheme="minorHAnsi"/>
          <w:spacing w:val="-2"/>
          <w:sz w:val="20"/>
          <w:szCs w:val="20"/>
        </w:rPr>
        <w:tab/>
      </w:r>
      <w:bookmarkStart w:id="157" w:name="b77"/>
      <w:bookmarkStart w:id="158" w:name="idm1152936272"/>
      <w:bookmarkEnd w:id="157"/>
      <w:bookmarkEnd w:id="158"/>
      <w:r w:rsidRPr="00C10BBC">
        <w:rPr>
          <w:rFonts w:ascii="Calibri" w:eastAsia="Times New Roman" w:hAnsi="Calibri" w:cstheme="minorHAnsi"/>
          <w:spacing w:val="-2"/>
          <w:sz w:val="20"/>
          <w:szCs w:val="20"/>
        </w:rPr>
        <w:t xml:space="preserve">Pasquin S, Laplante V, Kouadri S, Milasan A, Mayer G, Tormo AJ, Savin V, Sharma M, Martel C, Gauchat JF. Cardiotrophin-like Cytokine Increases Macrophage-Foam Cell Transition. J Immunol. 2018; 201:2462-71. </w:t>
      </w:r>
    </w:p>
    <w:p w14:paraId="57383AE9"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159" w:tgtFrame="_blank" w:history="1">
        <w:r w:rsidRPr="00C10BBC">
          <w:rPr>
            <w:rFonts w:ascii="Calibri" w:eastAsia="Times New Roman" w:hAnsi="Calibri" w:cstheme="minorHAnsi"/>
            <w:color w:val="0000FF"/>
            <w:spacing w:val="-2"/>
            <w:sz w:val="20"/>
            <w:szCs w:val="20"/>
            <w:u w:val="single"/>
          </w:rPr>
          <w:t>https://doi.org/10.4049/jimmunol.1800733</w:t>
        </w:r>
      </w:hyperlink>
      <w:r w:rsidRPr="00C10BBC">
        <w:rPr>
          <w:rFonts w:ascii="Calibri" w:eastAsia="Times New Roman" w:hAnsi="Calibri" w:cstheme="minorHAnsi"/>
          <w:spacing w:val="-2"/>
          <w:sz w:val="20"/>
          <w:szCs w:val="20"/>
        </w:rPr>
        <w:t xml:space="preserve"> </w:t>
      </w:r>
    </w:p>
    <w:p w14:paraId="2338D98F"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160"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30209193</w:t>
        </w:r>
      </w:hyperlink>
      <w:r w:rsidRPr="00C10BBC">
        <w:rPr>
          <w:rFonts w:ascii="Calibri" w:eastAsia="Times New Roman" w:hAnsi="Calibri" w:cstheme="minorHAnsi"/>
          <w:spacing w:val="-2"/>
          <w:sz w:val="20"/>
          <w:szCs w:val="20"/>
        </w:rPr>
        <w:t xml:space="preserve"> </w:t>
      </w:r>
    </w:p>
    <w:p w14:paraId="56FEFF6A"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78.</w:t>
      </w:r>
      <w:r w:rsidRPr="00C10BBC">
        <w:rPr>
          <w:rFonts w:ascii="Calibri" w:eastAsia="Times New Roman" w:hAnsi="Calibri" w:cstheme="minorHAnsi"/>
          <w:spacing w:val="-2"/>
          <w:sz w:val="20"/>
          <w:szCs w:val="20"/>
        </w:rPr>
        <w:tab/>
      </w:r>
      <w:bookmarkStart w:id="159" w:name="b78"/>
      <w:bookmarkStart w:id="160" w:name="idm1164100352"/>
      <w:bookmarkEnd w:id="159"/>
      <w:bookmarkEnd w:id="160"/>
      <w:r w:rsidRPr="00C10BBC">
        <w:rPr>
          <w:rFonts w:ascii="Calibri" w:eastAsia="Times New Roman" w:hAnsi="Calibri" w:cstheme="minorHAnsi"/>
          <w:spacing w:val="-2"/>
          <w:sz w:val="20"/>
          <w:szCs w:val="20"/>
        </w:rPr>
        <w:t xml:space="preserve">Maier A, Wu H, Cordasic N, Oefner P, Dietel B, Thiele C, Weidemann A, Eckardt KU, Warnecke C. Hypoxia-inducible protein 2 Hig2/Hilpda mediates neutral lipid accumulation in macrophages and contributes to atherosclerosis in apolipoprotein E-deficient mice. FASEB J. 2017; 31:4971-84. </w:t>
      </w:r>
    </w:p>
    <w:p w14:paraId="0F9975C1"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161" w:tgtFrame="_blank" w:history="1">
        <w:r w:rsidRPr="00C10BBC">
          <w:rPr>
            <w:rFonts w:ascii="Calibri" w:eastAsia="Times New Roman" w:hAnsi="Calibri" w:cstheme="minorHAnsi"/>
            <w:color w:val="0000FF"/>
            <w:spacing w:val="-2"/>
            <w:sz w:val="20"/>
            <w:szCs w:val="20"/>
            <w:u w:val="single"/>
          </w:rPr>
          <w:t>https://doi.org/10.1096/fj.201700235R</w:t>
        </w:r>
      </w:hyperlink>
      <w:r w:rsidRPr="00C10BBC">
        <w:rPr>
          <w:rFonts w:ascii="Calibri" w:eastAsia="Times New Roman" w:hAnsi="Calibri" w:cstheme="minorHAnsi"/>
          <w:spacing w:val="-2"/>
          <w:sz w:val="20"/>
          <w:szCs w:val="20"/>
        </w:rPr>
        <w:t xml:space="preserve"> </w:t>
      </w:r>
    </w:p>
    <w:p w14:paraId="0D472457"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162"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28760743</w:t>
        </w:r>
      </w:hyperlink>
      <w:r w:rsidRPr="00C10BBC">
        <w:rPr>
          <w:rFonts w:ascii="Calibri" w:eastAsia="Times New Roman" w:hAnsi="Calibri" w:cstheme="minorHAnsi"/>
          <w:spacing w:val="-2"/>
          <w:sz w:val="20"/>
          <w:szCs w:val="20"/>
        </w:rPr>
        <w:t xml:space="preserve"> </w:t>
      </w:r>
    </w:p>
    <w:p w14:paraId="7D49CC0F"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79.</w:t>
      </w:r>
      <w:r w:rsidRPr="00C10BBC">
        <w:rPr>
          <w:rFonts w:ascii="Calibri" w:eastAsia="Times New Roman" w:hAnsi="Calibri" w:cstheme="minorHAnsi"/>
          <w:spacing w:val="-2"/>
          <w:sz w:val="20"/>
          <w:szCs w:val="20"/>
        </w:rPr>
        <w:tab/>
      </w:r>
      <w:bookmarkStart w:id="161" w:name="b79"/>
      <w:bookmarkStart w:id="162" w:name="idm1168723536"/>
      <w:bookmarkEnd w:id="161"/>
      <w:bookmarkEnd w:id="162"/>
      <w:r w:rsidRPr="00C10BBC">
        <w:rPr>
          <w:rFonts w:ascii="Calibri" w:eastAsia="Times New Roman" w:hAnsi="Calibri" w:cstheme="minorHAnsi"/>
          <w:spacing w:val="-2"/>
          <w:sz w:val="20"/>
          <w:szCs w:val="20"/>
        </w:rPr>
        <w:t xml:space="preserve">Apostolakis S, Spandidos D. Chemokines and atherosclerosis: focus on the CX3CL1/CX3CR1 pathway. Acta Pharmacol Sin. 2013; 34:1251-56. </w:t>
      </w:r>
    </w:p>
    <w:p w14:paraId="13264CF8"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163" w:tgtFrame="_blank" w:history="1">
        <w:r w:rsidRPr="00C10BBC">
          <w:rPr>
            <w:rFonts w:ascii="Calibri" w:eastAsia="Times New Roman" w:hAnsi="Calibri" w:cstheme="minorHAnsi"/>
            <w:color w:val="0000FF"/>
            <w:spacing w:val="-2"/>
            <w:sz w:val="20"/>
            <w:szCs w:val="20"/>
            <w:u w:val="single"/>
          </w:rPr>
          <w:t>https://doi.org/10.1038/aps.2013.92</w:t>
        </w:r>
      </w:hyperlink>
      <w:r w:rsidRPr="00C10BBC">
        <w:rPr>
          <w:rFonts w:ascii="Calibri" w:eastAsia="Times New Roman" w:hAnsi="Calibri" w:cstheme="minorHAnsi"/>
          <w:spacing w:val="-2"/>
          <w:sz w:val="20"/>
          <w:szCs w:val="20"/>
        </w:rPr>
        <w:t xml:space="preserve"> </w:t>
      </w:r>
    </w:p>
    <w:p w14:paraId="3F6380C3"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164"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23974513</w:t>
        </w:r>
      </w:hyperlink>
      <w:r w:rsidRPr="00C10BBC">
        <w:rPr>
          <w:rFonts w:ascii="Calibri" w:eastAsia="Times New Roman" w:hAnsi="Calibri" w:cstheme="minorHAnsi"/>
          <w:spacing w:val="-2"/>
          <w:sz w:val="20"/>
          <w:szCs w:val="20"/>
        </w:rPr>
        <w:t xml:space="preserve"> </w:t>
      </w:r>
    </w:p>
    <w:p w14:paraId="674F9B4B"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80.</w:t>
      </w:r>
      <w:r w:rsidRPr="00C10BBC">
        <w:rPr>
          <w:rFonts w:ascii="Calibri" w:eastAsia="Times New Roman" w:hAnsi="Calibri" w:cstheme="minorHAnsi"/>
          <w:spacing w:val="-2"/>
          <w:sz w:val="20"/>
          <w:szCs w:val="20"/>
        </w:rPr>
        <w:tab/>
      </w:r>
      <w:bookmarkStart w:id="163" w:name="b80"/>
      <w:bookmarkStart w:id="164" w:name="idm1162456560"/>
      <w:bookmarkEnd w:id="163"/>
      <w:bookmarkEnd w:id="164"/>
      <w:r w:rsidRPr="00C10BBC">
        <w:rPr>
          <w:rFonts w:ascii="Calibri" w:eastAsia="Times New Roman" w:hAnsi="Calibri" w:cstheme="minorHAnsi"/>
          <w:spacing w:val="-2"/>
          <w:sz w:val="20"/>
          <w:szCs w:val="20"/>
        </w:rPr>
        <w:t xml:space="preserve">Brauner S, Jiang X, Thorlacius GE, Lundberg AM, Ostberg T, Yan ZQ, Kuchroo VK, Hansson GK, Wahren-Herlenius M. Augmented Th17 differentiation in Trim21 deficiency promotes a stable phenotype of atherosclerotic plaques with high collagen content. Cardiovasc Res. 2018; 114:158-67. </w:t>
      </w:r>
    </w:p>
    <w:p w14:paraId="74058002"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165" w:tgtFrame="_blank" w:history="1">
        <w:r w:rsidRPr="00C10BBC">
          <w:rPr>
            <w:rFonts w:ascii="Calibri" w:eastAsia="Times New Roman" w:hAnsi="Calibri" w:cstheme="minorHAnsi"/>
            <w:color w:val="0000FF"/>
            <w:spacing w:val="-2"/>
            <w:sz w:val="20"/>
            <w:szCs w:val="20"/>
            <w:u w:val="single"/>
          </w:rPr>
          <w:t>https://doi.org/10.1093/cvr/cvx181</w:t>
        </w:r>
      </w:hyperlink>
      <w:r w:rsidRPr="00C10BBC">
        <w:rPr>
          <w:rFonts w:ascii="Calibri" w:eastAsia="Times New Roman" w:hAnsi="Calibri" w:cstheme="minorHAnsi"/>
          <w:spacing w:val="-2"/>
          <w:sz w:val="20"/>
          <w:szCs w:val="20"/>
        </w:rPr>
        <w:t xml:space="preserve"> </w:t>
      </w:r>
    </w:p>
    <w:p w14:paraId="120CBEEC"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166"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29016728</w:t>
        </w:r>
      </w:hyperlink>
      <w:r w:rsidRPr="00C10BBC">
        <w:rPr>
          <w:rFonts w:ascii="Calibri" w:eastAsia="Times New Roman" w:hAnsi="Calibri" w:cstheme="minorHAnsi"/>
          <w:spacing w:val="-2"/>
          <w:sz w:val="20"/>
          <w:szCs w:val="20"/>
        </w:rPr>
        <w:t xml:space="preserve"> </w:t>
      </w:r>
    </w:p>
    <w:p w14:paraId="0E051052"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81.</w:t>
      </w:r>
      <w:r w:rsidRPr="00C10BBC">
        <w:rPr>
          <w:rFonts w:ascii="Calibri" w:eastAsia="Times New Roman" w:hAnsi="Calibri" w:cstheme="minorHAnsi"/>
          <w:spacing w:val="-2"/>
          <w:sz w:val="20"/>
          <w:szCs w:val="20"/>
        </w:rPr>
        <w:tab/>
      </w:r>
      <w:bookmarkStart w:id="165" w:name="b81"/>
      <w:bookmarkStart w:id="166" w:name="idm1142546240"/>
      <w:bookmarkEnd w:id="165"/>
      <w:bookmarkEnd w:id="166"/>
      <w:r w:rsidRPr="00C10BBC">
        <w:rPr>
          <w:rFonts w:ascii="Calibri" w:eastAsia="Times New Roman" w:hAnsi="Calibri" w:cstheme="minorHAnsi"/>
          <w:spacing w:val="-2"/>
          <w:sz w:val="20"/>
          <w:szCs w:val="20"/>
        </w:rPr>
        <w:t xml:space="preserve">Nazarenko MS, Markov AV, Sleptsov AA, Koroleva IA, Sharysh DV, Zarubin AA, Valiahmetov NR, Goncharova IA, Muslimova EF, Kuznecov MS, Kozlov BN, Afanasiev SA, Puzyrev VP. [Comparative analysis of gene expression in vascular cells of patients with advanced atherosclerosis]. Biomed Khim. 2018; 64:416-22. </w:t>
      </w:r>
    </w:p>
    <w:p w14:paraId="734FD02F"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167" w:tgtFrame="_blank" w:history="1">
        <w:r w:rsidRPr="00C10BBC">
          <w:rPr>
            <w:rFonts w:ascii="Calibri" w:eastAsia="Times New Roman" w:hAnsi="Calibri" w:cstheme="minorHAnsi"/>
            <w:color w:val="0000FF"/>
            <w:spacing w:val="-2"/>
            <w:sz w:val="20"/>
            <w:szCs w:val="20"/>
            <w:u w:val="single"/>
          </w:rPr>
          <w:t>https://doi.org/10.18097/PBMC20186405416</w:t>
        </w:r>
      </w:hyperlink>
      <w:r w:rsidRPr="00C10BBC">
        <w:rPr>
          <w:rFonts w:ascii="Calibri" w:eastAsia="Times New Roman" w:hAnsi="Calibri" w:cstheme="minorHAnsi"/>
          <w:spacing w:val="-2"/>
          <w:sz w:val="20"/>
          <w:szCs w:val="20"/>
        </w:rPr>
        <w:t xml:space="preserve"> </w:t>
      </w:r>
    </w:p>
    <w:p w14:paraId="57F29655"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168"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30378557</w:t>
        </w:r>
      </w:hyperlink>
    </w:p>
    <w:p w14:paraId="107E0D14"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82.</w:t>
      </w:r>
      <w:r w:rsidRPr="00C10BBC">
        <w:rPr>
          <w:rFonts w:ascii="Calibri" w:eastAsia="Times New Roman" w:hAnsi="Calibri" w:cstheme="minorHAnsi"/>
          <w:spacing w:val="-2"/>
          <w:sz w:val="20"/>
          <w:szCs w:val="20"/>
        </w:rPr>
        <w:tab/>
      </w:r>
      <w:bookmarkStart w:id="167" w:name="b82"/>
      <w:bookmarkStart w:id="168" w:name="idm1007196112"/>
      <w:bookmarkEnd w:id="167"/>
      <w:bookmarkEnd w:id="168"/>
      <w:r w:rsidRPr="00C10BBC">
        <w:rPr>
          <w:rFonts w:ascii="Calibri" w:eastAsia="Times New Roman" w:hAnsi="Calibri" w:cstheme="minorHAnsi"/>
          <w:spacing w:val="-2"/>
          <w:sz w:val="20"/>
          <w:szCs w:val="20"/>
        </w:rPr>
        <w:t xml:space="preserve">Strawbridge RJ, Deleskog A, McLeod O, Folkersen L, Kavousi M, Gertow K, Baldassarre D, Veglia F, Leander K, Gigante B, Kauhanen J, Rauramaa R, Smit AJ, et al. A serum 25-hydroxyvitamin D concentration-associated genetic variant in DHCR7 interacts with type 2 diabetes status to influence subclinical atherosclerosis (measured by carotid intima-media thickness). Diabetologia. 2014; 57:1159-72. </w:t>
      </w:r>
    </w:p>
    <w:p w14:paraId="4EC875B5"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169" w:tgtFrame="_blank" w:history="1">
        <w:r w:rsidRPr="00C10BBC">
          <w:rPr>
            <w:rFonts w:ascii="Calibri" w:eastAsia="Times New Roman" w:hAnsi="Calibri" w:cstheme="minorHAnsi"/>
            <w:color w:val="0000FF"/>
            <w:spacing w:val="-2"/>
            <w:sz w:val="20"/>
            <w:szCs w:val="20"/>
            <w:u w:val="single"/>
          </w:rPr>
          <w:t>https://doi.org/10.1007/s00125-014-3215-y</w:t>
        </w:r>
      </w:hyperlink>
      <w:r w:rsidRPr="00C10BBC">
        <w:rPr>
          <w:rFonts w:ascii="Calibri" w:eastAsia="Times New Roman" w:hAnsi="Calibri" w:cstheme="minorHAnsi"/>
          <w:spacing w:val="-2"/>
          <w:sz w:val="20"/>
          <w:szCs w:val="20"/>
        </w:rPr>
        <w:t xml:space="preserve"> </w:t>
      </w:r>
    </w:p>
    <w:p w14:paraId="7B58787E"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170"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24663808</w:t>
        </w:r>
      </w:hyperlink>
      <w:r w:rsidRPr="00C10BBC">
        <w:rPr>
          <w:rFonts w:ascii="Calibri" w:eastAsia="Times New Roman" w:hAnsi="Calibri" w:cstheme="minorHAnsi"/>
          <w:spacing w:val="-2"/>
          <w:sz w:val="20"/>
          <w:szCs w:val="20"/>
        </w:rPr>
        <w:t xml:space="preserve"> </w:t>
      </w:r>
    </w:p>
    <w:p w14:paraId="0C136E84"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83.</w:t>
      </w:r>
      <w:r w:rsidRPr="00C10BBC">
        <w:rPr>
          <w:rFonts w:ascii="Calibri" w:eastAsia="Times New Roman" w:hAnsi="Calibri" w:cstheme="minorHAnsi"/>
          <w:spacing w:val="-2"/>
          <w:sz w:val="20"/>
          <w:szCs w:val="20"/>
        </w:rPr>
        <w:tab/>
      </w:r>
      <w:bookmarkStart w:id="169" w:name="b83"/>
      <w:bookmarkStart w:id="170" w:name="idm1140756160"/>
      <w:bookmarkEnd w:id="169"/>
      <w:bookmarkEnd w:id="170"/>
      <w:r w:rsidRPr="00C10BBC">
        <w:rPr>
          <w:rFonts w:ascii="Calibri" w:eastAsia="Times New Roman" w:hAnsi="Calibri" w:cstheme="minorHAnsi"/>
          <w:spacing w:val="-2"/>
          <w:sz w:val="20"/>
          <w:szCs w:val="20"/>
        </w:rPr>
        <w:t xml:space="preserve">O Krogmann A, Lusebrink E, Lahrmann C, Flender A, Nickenig G, Zimmer S. Toll-Like Receptor 7 Stimulation Promotes the Development of Atherosclerosis in Apolipoprotein E-Deficient Mice. Int Heart J. 2020; 61:364-72. </w:t>
      </w:r>
    </w:p>
    <w:p w14:paraId="60837147"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171" w:tgtFrame="_blank" w:history="1">
        <w:r w:rsidRPr="00C10BBC">
          <w:rPr>
            <w:rFonts w:ascii="Calibri" w:eastAsia="Times New Roman" w:hAnsi="Calibri" w:cstheme="minorHAnsi"/>
            <w:color w:val="0000FF"/>
            <w:spacing w:val="-2"/>
            <w:sz w:val="20"/>
            <w:szCs w:val="20"/>
            <w:u w:val="single"/>
          </w:rPr>
          <w:t>https://doi.org/10.1536/ihj.19-365</w:t>
        </w:r>
      </w:hyperlink>
      <w:r w:rsidRPr="00C10BBC">
        <w:rPr>
          <w:rFonts w:ascii="Calibri" w:eastAsia="Times New Roman" w:hAnsi="Calibri" w:cstheme="minorHAnsi"/>
          <w:spacing w:val="-2"/>
          <w:sz w:val="20"/>
          <w:szCs w:val="20"/>
        </w:rPr>
        <w:t xml:space="preserve"> </w:t>
      </w:r>
    </w:p>
    <w:p w14:paraId="2D9D9AE5"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172"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32132319</w:t>
        </w:r>
      </w:hyperlink>
      <w:r w:rsidRPr="00C10BBC">
        <w:rPr>
          <w:rFonts w:ascii="Calibri" w:eastAsia="Times New Roman" w:hAnsi="Calibri" w:cstheme="minorHAnsi"/>
          <w:spacing w:val="-2"/>
          <w:sz w:val="20"/>
          <w:szCs w:val="20"/>
        </w:rPr>
        <w:t xml:space="preserve"> </w:t>
      </w:r>
    </w:p>
    <w:p w14:paraId="124BFE76"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84.</w:t>
      </w:r>
      <w:r w:rsidRPr="00C10BBC">
        <w:rPr>
          <w:rFonts w:ascii="Calibri" w:eastAsia="Times New Roman" w:hAnsi="Calibri" w:cstheme="minorHAnsi"/>
          <w:spacing w:val="-2"/>
          <w:sz w:val="20"/>
          <w:szCs w:val="20"/>
        </w:rPr>
        <w:tab/>
      </w:r>
      <w:bookmarkStart w:id="171" w:name="b84"/>
      <w:bookmarkStart w:id="172" w:name="idm1164890176"/>
      <w:bookmarkEnd w:id="171"/>
      <w:bookmarkEnd w:id="172"/>
      <w:r w:rsidRPr="00C10BBC">
        <w:rPr>
          <w:rFonts w:ascii="Calibri" w:eastAsia="Times New Roman" w:hAnsi="Calibri" w:cstheme="minorHAnsi"/>
          <w:spacing w:val="-2"/>
          <w:sz w:val="20"/>
          <w:szCs w:val="20"/>
        </w:rPr>
        <w:t xml:space="preserve">Karadimou G, Folkersen L, Berg M, Perisic L, Discacciati A, Roy J, Hansson GK, Persson J, Paulsson-Berne G. Low TLR7 gene expression in atherosclerotic plaques is associated with major adverse cardio- and cerebrovascular events. Cardiovasc Res. 2017; 113:30-39. </w:t>
      </w:r>
    </w:p>
    <w:p w14:paraId="086DC259"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173" w:tgtFrame="_blank" w:history="1">
        <w:r w:rsidRPr="00C10BBC">
          <w:rPr>
            <w:rFonts w:ascii="Calibri" w:eastAsia="Times New Roman" w:hAnsi="Calibri" w:cstheme="minorHAnsi"/>
            <w:color w:val="0000FF"/>
            <w:spacing w:val="-2"/>
            <w:sz w:val="20"/>
            <w:szCs w:val="20"/>
            <w:u w:val="single"/>
          </w:rPr>
          <w:t>https://doi.org/10.1093/cvr/cvw231</w:t>
        </w:r>
      </w:hyperlink>
      <w:r w:rsidRPr="00C10BBC">
        <w:rPr>
          <w:rFonts w:ascii="Calibri" w:eastAsia="Times New Roman" w:hAnsi="Calibri" w:cstheme="minorHAnsi"/>
          <w:spacing w:val="-2"/>
          <w:sz w:val="20"/>
          <w:szCs w:val="20"/>
        </w:rPr>
        <w:t xml:space="preserve"> </w:t>
      </w:r>
    </w:p>
    <w:p w14:paraId="75C57CC3"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174"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27864310</w:t>
        </w:r>
      </w:hyperlink>
      <w:r w:rsidRPr="00C10BBC">
        <w:rPr>
          <w:rFonts w:ascii="Calibri" w:eastAsia="Times New Roman" w:hAnsi="Calibri" w:cstheme="minorHAnsi"/>
          <w:spacing w:val="-2"/>
          <w:sz w:val="20"/>
          <w:szCs w:val="20"/>
        </w:rPr>
        <w:t xml:space="preserve"> </w:t>
      </w:r>
    </w:p>
    <w:p w14:paraId="34503A07"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85.</w:t>
      </w:r>
      <w:r w:rsidRPr="00C10BBC">
        <w:rPr>
          <w:rFonts w:ascii="Calibri" w:eastAsia="Times New Roman" w:hAnsi="Calibri" w:cstheme="minorHAnsi"/>
          <w:spacing w:val="-2"/>
          <w:sz w:val="20"/>
          <w:szCs w:val="20"/>
        </w:rPr>
        <w:tab/>
      </w:r>
      <w:bookmarkStart w:id="173" w:name="b85"/>
      <w:bookmarkStart w:id="174" w:name="idm998859056"/>
      <w:bookmarkEnd w:id="173"/>
      <w:bookmarkEnd w:id="174"/>
      <w:r w:rsidRPr="00C10BBC">
        <w:rPr>
          <w:rFonts w:ascii="Calibri" w:eastAsia="Times New Roman" w:hAnsi="Calibri" w:cstheme="minorHAnsi"/>
          <w:spacing w:val="-2"/>
          <w:sz w:val="20"/>
          <w:szCs w:val="20"/>
        </w:rPr>
        <w:t xml:space="preserve">Liu CL, Santos MM, Fernandes C, Liao M, Iamarene K, Zhang JY, Sukhova GK, Shi GP. Toll-like receptor 7 deficiency protects apolipoprotein E-deficient mice from diet-induced atherosclerosis. Sci Rep. 2017; 7:847. </w:t>
      </w:r>
    </w:p>
    <w:p w14:paraId="04CEFBAF"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175" w:tgtFrame="_blank" w:history="1">
        <w:r w:rsidRPr="00C10BBC">
          <w:rPr>
            <w:rFonts w:ascii="Calibri" w:eastAsia="Times New Roman" w:hAnsi="Calibri" w:cstheme="minorHAnsi"/>
            <w:color w:val="0000FF"/>
            <w:spacing w:val="-2"/>
            <w:sz w:val="20"/>
            <w:szCs w:val="20"/>
            <w:u w:val="single"/>
          </w:rPr>
          <w:t>https://doi.org/10.1038/s41598-017-00977-0</w:t>
        </w:r>
      </w:hyperlink>
      <w:r w:rsidRPr="00C10BBC">
        <w:rPr>
          <w:rFonts w:ascii="Calibri" w:eastAsia="Times New Roman" w:hAnsi="Calibri" w:cstheme="minorHAnsi"/>
          <w:spacing w:val="-2"/>
          <w:sz w:val="20"/>
          <w:szCs w:val="20"/>
        </w:rPr>
        <w:t xml:space="preserve"> </w:t>
      </w:r>
    </w:p>
    <w:p w14:paraId="139A1396"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176"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28405010</w:t>
        </w:r>
      </w:hyperlink>
      <w:r w:rsidRPr="00C10BBC">
        <w:rPr>
          <w:rFonts w:ascii="Calibri" w:eastAsia="Times New Roman" w:hAnsi="Calibri" w:cstheme="minorHAnsi"/>
          <w:spacing w:val="-2"/>
          <w:sz w:val="20"/>
          <w:szCs w:val="20"/>
        </w:rPr>
        <w:t xml:space="preserve"> </w:t>
      </w:r>
    </w:p>
    <w:p w14:paraId="18EE1F03"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86.</w:t>
      </w:r>
      <w:r w:rsidRPr="00C10BBC">
        <w:rPr>
          <w:rFonts w:ascii="Calibri" w:eastAsia="Times New Roman" w:hAnsi="Calibri" w:cstheme="minorHAnsi"/>
          <w:spacing w:val="-2"/>
          <w:sz w:val="20"/>
          <w:szCs w:val="20"/>
        </w:rPr>
        <w:tab/>
      </w:r>
      <w:bookmarkStart w:id="175" w:name="b86"/>
      <w:bookmarkStart w:id="176" w:name="idm1149625840"/>
      <w:bookmarkEnd w:id="175"/>
      <w:bookmarkEnd w:id="176"/>
      <w:r w:rsidRPr="00C10BBC">
        <w:rPr>
          <w:rFonts w:ascii="Calibri" w:eastAsia="Times New Roman" w:hAnsi="Calibri" w:cstheme="minorHAnsi"/>
          <w:spacing w:val="-2"/>
          <w:sz w:val="20"/>
          <w:szCs w:val="20"/>
        </w:rPr>
        <w:t xml:space="preserve">Asdonk T, Steinmetz M, Krogmann A, Strocker C, Lahrmann C, Motz I, Paul-Krahe K, Flender A, Schmitz T, Barchet W, Hartmann G, Nickenig G, Zimmer S. MDA-5 activation by cytoplasmic double-stranded RNA impairs endothelial function and aggravates atherosclerosis. J Cell Mol Med. 2016; 20:1696-705. </w:t>
      </w:r>
    </w:p>
    <w:p w14:paraId="02286E71"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177" w:tgtFrame="_blank" w:history="1">
        <w:r w:rsidRPr="00C10BBC">
          <w:rPr>
            <w:rFonts w:ascii="Calibri" w:eastAsia="Times New Roman" w:hAnsi="Calibri" w:cstheme="minorHAnsi"/>
            <w:color w:val="0000FF"/>
            <w:spacing w:val="-2"/>
            <w:sz w:val="20"/>
            <w:szCs w:val="20"/>
            <w:u w:val="single"/>
          </w:rPr>
          <w:t>https://doi.org/10.1111/jcmm.12864</w:t>
        </w:r>
      </w:hyperlink>
      <w:r w:rsidRPr="00C10BBC">
        <w:rPr>
          <w:rFonts w:ascii="Calibri" w:eastAsia="Times New Roman" w:hAnsi="Calibri" w:cstheme="minorHAnsi"/>
          <w:spacing w:val="-2"/>
          <w:sz w:val="20"/>
          <w:szCs w:val="20"/>
        </w:rPr>
        <w:t xml:space="preserve"> </w:t>
      </w:r>
    </w:p>
    <w:p w14:paraId="642188F1"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178"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27130701</w:t>
        </w:r>
      </w:hyperlink>
      <w:r w:rsidRPr="00C10BBC">
        <w:rPr>
          <w:rFonts w:ascii="Calibri" w:eastAsia="Times New Roman" w:hAnsi="Calibri" w:cstheme="minorHAnsi"/>
          <w:spacing w:val="-2"/>
          <w:sz w:val="20"/>
          <w:szCs w:val="20"/>
        </w:rPr>
        <w:t xml:space="preserve"> </w:t>
      </w:r>
    </w:p>
    <w:p w14:paraId="758F5F9D"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87.</w:t>
      </w:r>
      <w:r w:rsidRPr="00C10BBC">
        <w:rPr>
          <w:rFonts w:ascii="Calibri" w:eastAsia="Times New Roman" w:hAnsi="Calibri" w:cstheme="minorHAnsi"/>
          <w:spacing w:val="-2"/>
          <w:sz w:val="20"/>
          <w:szCs w:val="20"/>
        </w:rPr>
        <w:tab/>
      </w:r>
      <w:bookmarkStart w:id="177" w:name="b87"/>
      <w:bookmarkStart w:id="178" w:name="idm1008897040"/>
      <w:bookmarkEnd w:id="177"/>
      <w:bookmarkEnd w:id="178"/>
      <w:r w:rsidRPr="00C10BBC">
        <w:rPr>
          <w:rFonts w:ascii="Calibri" w:eastAsia="Times New Roman" w:hAnsi="Calibri" w:cstheme="minorHAnsi"/>
          <w:spacing w:val="-2"/>
          <w:sz w:val="20"/>
          <w:szCs w:val="20"/>
        </w:rPr>
        <w:t xml:space="preserve">Piaszyk-Borychowska A, Szeles L, Csermely A, Chiang HC, Wesoly J, Lee CK, Nagy L, Bluyssen HA. Signal Integration of IFN-I and IFN-II With TLR4 Involves Sequential Recruitment of STAT1-Complexes and NF?B to Enhance Pro-inflammatory Transcription. Front Immunol. 2019; 10:1253. </w:t>
      </w:r>
    </w:p>
    <w:p w14:paraId="1854079E"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179" w:tgtFrame="_blank" w:history="1">
        <w:r w:rsidRPr="00C10BBC">
          <w:rPr>
            <w:rFonts w:ascii="Calibri" w:eastAsia="Times New Roman" w:hAnsi="Calibri" w:cstheme="minorHAnsi"/>
            <w:color w:val="0000FF"/>
            <w:spacing w:val="-2"/>
            <w:sz w:val="20"/>
            <w:szCs w:val="20"/>
            <w:u w:val="single"/>
          </w:rPr>
          <w:t>https://doi.org/10.3389/fimmu.2019.01253</w:t>
        </w:r>
      </w:hyperlink>
      <w:r w:rsidRPr="00C10BBC">
        <w:rPr>
          <w:rFonts w:ascii="Calibri" w:eastAsia="Times New Roman" w:hAnsi="Calibri" w:cstheme="minorHAnsi"/>
          <w:spacing w:val="-2"/>
          <w:sz w:val="20"/>
          <w:szCs w:val="20"/>
        </w:rPr>
        <w:t xml:space="preserve"> </w:t>
      </w:r>
    </w:p>
    <w:p w14:paraId="6AB4FC5B"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180"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31231385</w:t>
        </w:r>
      </w:hyperlink>
      <w:r w:rsidRPr="00C10BBC">
        <w:rPr>
          <w:rFonts w:ascii="Calibri" w:eastAsia="Times New Roman" w:hAnsi="Calibri" w:cstheme="minorHAnsi"/>
          <w:spacing w:val="-2"/>
          <w:sz w:val="20"/>
          <w:szCs w:val="20"/>
        </w:rPr>
        <w:t xml:space="preserve"> </w:t>
      </w:r>
    </w:p>
    <w:p w14:paraId="3C422598"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88.</w:t>
      </w:r>
      <w:r w:rsidRPr="00C10BBC">
        <w:rPr>
          <w:rFonts w:ascii="Calibri" w:eastAsia="Times New Roman" w:hAnsi="Calibri" w:cstheme="minorHAnsi"/>
          <w:spacing w:val="-2"/>
          <w:sz w:val="20"/>
          <w:szCs w:val="20"/>
        </w:rPr>
        <w:tab/>
      </w:r>
      <w:bookmarkStart w:id="179" w:name="b88"/>
      <w:bookmarkStart w:id="180" w:name="idm1163839568"/>
      <w:bookmarkEnd w:id="179"/>
      <w:bookmarkEnd w:id="180"/>
      <w:r w:rsidRPr="00C10BBC">
        <w:rPr>
          <w:rFonts w:ascii="Calibri" w:eastAsia="Times New Roman" w:hAnsi="Calibri" w:cstheme="minorHAnsi"/>
          <w:spacing w:val="-2"/>
          <w:sz w:val="20"/>
          <w:szCs w:val="20"/>
        </w:rPr>
        <w:t xml:space="preserve">Rosenson RS, Tangney CC, Levine DM, Parker TS, Gordon BR. Elevated soluble tumor necrosis factor receptor levels in non-obese adults with the atherogenic dyslipoproteinemia. Atherosclerosis. 2004; 177:77-81. </w:t>
      </w:r>
    </w:p>
    <w:p w14:paraId="50A91FB2"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181" w:tgtFrame="_blank" w:history="1">
        <w:r w:rsidRPr="00C10BBC">
          <w:rPr>
            <w:rFonts w:ascii="Calibri" w:eastAsia="Times New Roman" w:hAnsi="Calibri" w:cstheme="minorHAnsi"/>
            <w:color w:val="0000FF"/>
            <w:spacing w:val="-2"/>
            <w:sz w:val="20"/>
            <w:szCs w:val="20"/>
            <w:u w:val="single"/>
          </w:rPr>
          <w:t>https://doi.org/10.1016/j.atherosclerosis.2004.05.027</w:t>
        </w:r>
      </w:hyperlink>
      <w:r w:rsidRPr="00C10BBC">
        <w:rPr>
          <w:rFonts w:ascii="Calibri" w:eastAsia="Times New Roman" w:hAnsi="Calibri" w:cstheme="minorHAnsi"/>
          <w:spacing w:val="-2"/>
          <w:sz w:val="20"/>
          <w:szCs w:val="20"/>
        </w:rPr>
        <w:t xml:space="preserve"> </w:t>
      </w:r>
    </w:p>
    <w:p w14:paraId="0331C396"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182"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15488868</w:t>
        </w:r>
      </w:hyperlink>
      <w:r w:rsidRPr="00C10BBC">
        <w:rPr>
          <w:rFonts w:ascii="Calibri" w:eastAsia="Times New Roman" w:hAnsi="Calibri" w:cstheme="minorHAnsi"/>
          <w:spacing w:val="-2"/>
          <w:sz w:val="20"/>
          <w:szCs w:val="20"/>
        </w:rPr>
        <w:t xml:space="preserve"> </w:t>
      </w:r>
    </w:p>
    <w:p w14:paraId="272915C1"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89.</w:t>
      </w:r>
      <w:r w:rsidRPr="00C10BBC">
        <w:rPr>
          <w:rFonts w:ascii="Calibri" w:eastAsia="Times New Roman" w:hAnsi="Calibri" w:cstheme="minorHAnsi"/>
          <w:spacing w:val="-2"/>
          <w:sz w:val="20"/>
          <w:szCs w:val="20"/>
        </w:rPr>
        <w:tab/>
      </w:r>
      <w:bookmarkStart w:id="181" w:name="b89"/>
      <w:bookmarkStart w:id="182" w:name="idm1162793248"/>
      <w:bookmarkEnd w:id="181"/>
      <w:bookmarkEnd w:id="182"/>
      <w:r w:rsidRPr="00C10BBC">
        <w:rPr>
          <w:rFonts w:ascii="Calibri" w:eastAsia="Times New Roman" w:hAnsi="Calibri" w:cstheme="minorHAnsi"/>
          <w:spacing w:val="-2"/>
          <w:sz w:val="20"/>
          <w:szCs w:val="20"/>
        </w:rPr>
        <w:t xml:space="preserve">Tawakol A, Singh P, Mojena M, Pimentel-Santillana M, Emami H, MacNabb M, Rudd JH, Narula J, Enriquez JA, Traves PG, Fernandez-Velasco M, Bartrons R, Martin-Sanz P, et al. HIF-1? and PFKFB3 Mediate a Tight Relationship Between Proinflammatory Activation and Anerobic Metabolism in Atherosclerotic Macrophages. Arterioscler Thromb Vasc Biol. 2015; 35:1463-71. </w:t>
      </w:r>
    </w:p>
    <w:p w14:paraId="6E3452CC"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183" w:tgtFrame="_blank" w:history="1">
        <w:r w:rsidRPr="00C10BBC">
          <w:rPr>
            <w:rFonts w:ascii="Calibri" w:eastAsia="Times New Roman" w:hAnsi="Calibri" w:cstheme="minorHAnsi"/>
            <w:color w:val="0000FF"/>
            <w:spacing w:val="-2"/>
            <w:sz w:val="20"/>
            <w:szCs w:val="20"/>
            <w:u w:val="single"/>
          </w:rPr>
          <w:t>https://doi.org/10.1161/ATVBAHA.115.305551</w:t>
        </w:r>
      </w:hyperlink>
      <w:r w:rsidRPr="00C10BBC">
        <w:rPr>
          <w:rFonts w:ascii="Calibri" w:eastAsia="Times New Roman" w:hAnsi="Calibri" w:cstheme="minorHAnsi"/>
          <w:spacing w:val="-2"/>
          <w:sz w:val="20"/>
          <w:szCs w:val="20"/>
        </w:rPr>
        <w:t xml:space="preserve"> </w:t>
      </w:r>
    </w:p>
    <w:p w14:paraId="68594A1A"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184"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25882065</w:t>
        </w:r>
      </w:hyperlink>
      <w:r w:rsidRPr="00C10BBC">
        <w:rPr>
          <w:rFonts w:ascii="Calibri" w:eastAsia="Times New Roman" w:hAnsi="Calibri" w:cstheme="minorHAnsi"/>
          <w:spacing w:val="-2"/>
          <w:sz w:val="20"/>
          <w:szCs w:val="20"/>
        </w:rPr>
        <w:t xml:space="preserve"> </w:t>
      </w:r>
    </w:p>
    <w:p w14:paraId="447CBA29"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90.</w:t>
      </w:r>
      <w:r w:rsidRPr="00C10BBC">
        <w:rPr>
          <w:rFonts w:ascii="Calibri" w:eastAsia="Times New Roman" w:hAnsi="Calibri" w:cstheme="minorHAnsi"/>
          <w:spacing w:val="-2"/>
          <w:sz w:val="20"/>
          <w:szCs w:val="20"/>
        </w:rPr>
        <w:tab/>
      </w:r>
      <w:bookmarkStart w:id="183" w:name="b90"/>
      <w:bookmarkStart w:id="184" w:name="idm1157779632"/>
      <w:bookmarkEnd w:id="183"/>
      <w:bookmarkEnd w:id="184"/>
      <w:r w:rsidRPr="00C10BBC">
        <w:rPr>
          <w:rFonts w:ascii="Calibri" w:eastAsia="Times New Roman" w:hAnsi="Calibri" w:cstheme="minorHAnsi"/>
          <w:spacing w:val="-2"/>
          <w:sz w:val="20"/>
          <w:szCs w:val="20"/>
        </w:rPr>
        <w:t xml:space="preserve">Lyu M, Cui Y, Zhao T, Ning Z, Ren J, Jin X, Fan G, Zhu Y. </w:t>
      </w:r>
      <w:r w:rsidRPr="00C10BBC">
        <w:rPr>
          <w:rFonts w:ascii="Calibri" w:eastAsia="Times New Roman" w:hAnsi="Calibri" w:cstheme="minorHAnsi"/>
          <w:i/>
          <w:iCs/>
          <w:spacing w:val="-2"/>
          <w:sz w:val="20"/>
          <w:szCs w:val="20"/>
        </w:rPr>
        <w:t>Tnfrsf12a</w:t>
      </w:r>
      <w:r w:rsidRPr="00C10BBC">
        <w:rPr>
          <w:rFonts w:ascii="Calibri" w:eastAsia="Times New Roman" w:hAnsi="Calibri" w:cstheme="minorHAnsi"/>
          <w:spacing w:val="-2"/>
          <w:sz w:val="20"/>
          <w:szCs w:val="20"/>
        </w:rPr>
        <w:t xml:space="preserve">-Mediated Atherosclerosis Signaling and Inflammatory Response as a Common Protection Mechanism of Shuxuening Injection Against Both Myocardial and Cerebral Ischemia-Reperfusion Injuries. Front Pharmacol. 2018; 9:312. </w:t>
      </w:r>
    </w:p>
    <w:p w14:paraId="7FFE9440"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185" w:tgtFrame="_blank" w:history="1">
        <w:r w:rsidRPr="00C10BBC">
          <w:rPr>
            <w:rFonts w:ascii="Calibri" w:eastAsia="Times New Roman" w:hAnsi="Calibri" w:cstheme="minorHAnsi"/>
            <w:color w:val="0000FF"/>
            <w:spacing w:val="-2"/>
            <w:sz w:val="20"/>
            <w:szCs w:val="20"/>
            <w:u w:val="single"/>
          </w:rPr>
          <w:t>https://doi.org/10.3389/fphar.2018.00312</w:t>
        </w:r>
      </w:hyperlink>
      <w:r w:rsidRPr="00C10BBC">
        <w:rPr>
          <w:rFonts w:ascii="Calibri" w:eastAsia="Times New Roman" w:hAnsi="Calibri" w:cstheme="minorHAnsi"/>
          <w:spacing w:val="-2"/>
          <w:sz w:val="20"/>
          <w:szCs w:val="20"/>
        </w:rPr>
        <w:t xml:space="preserve"> </w:t>
      </w:r>
    </w:p>
    <w:p w14:paraId="648A67E3"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186"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29681850</w:t>
        </w:r>
      </w:hyperlink>
      <w:r w:rsidRPr="00C10BBC">
        <w:rPr>
          <w:rFonts w:ascii="Calibri" w:eastAsia="Times New Roman" w:hAnsi="Calibri" w:cstheme="minorHAnsi"/>
          <w:spacing w:val="-2"/>
          <w:sz w:val="20"/>
          <w:szCs w:val="20"/>
        </w:rPr>
        <w:t xml:space="preserve"> </w:t>
      </w:r>
    </w:p>
    <w:p w14:paraId="2CC06D6C"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91.</w:t>
      </w:r>
      <w:r w:rsidRPr="00C10BBC">
        <w:rPr>
          <w:rFonts w:ascii="Calibri" w:eastAsia="Times New Roman" w:hAnsi="Calibri" w:cstheme="minorHAnsi"/>
          <w:spacing w:val="-2"/>
          <w:sz w:val="20"/>
          <w:szCs w:val="20"/>
        </w:rPr>
        <w:tab/>
      </w:r>
      <w:bookmarkStart w:id="185" w:name="b91"/>
      <w:bookmarkStart w:id="186" w:name="idm1154063408"/>
      <w:bookmarkEnd w:id="185"/>
      <w:bookmarkEnd w:id="186"/>
      <w:r w:rsidRPr="00C10BBC">
        <w:rPr>
          <w:rFonts w:ascii="Calibri" w:eastAsia="Times New Roman" w:hAnsi="Calibri" w:cstheme="minorHAnsi"/>
          <w:spacing w:val="-2"/>
          <w:sz w:val="20"/>
          <w:szCs w:val="20"/>
        </w:rPr>
        <w:t xml:space="preserve">Song Z, Wei D, Chen Y, Chen L, Bian Y, Shen Y, Chen J, Pan Y. Association of astragaloside IV-inhibited autophagy and mineralization in vascular smooth muscle cells with lncRNA H19 and DUSP5-mediated ERK signaling. Toxicol Appl Pharmacol. 2019; 364:45-54. </w:t>
      </w:r>
    </w:p>
    <w:p w14:paraId="6D3288AC"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187" w:tgtFrame="_blank" w:history="1">
        <w:r w:rsidRPr="00C10BBC">
          <w:rPr>
            <w:rFonts w:ascii="Calibri" w:eastAsia="Times New Roman" w:hAnsi="Calibri" w:cstheme="minorHAnsi"/>
            <w:color w:val="0000FF"/>
            <w:spacing w:val="-2"/>
            <w:sz w:val="20"/>
            <w:szCs w:val="20"/>
            <w:u w:val="single"/>
          </w:rPr>
          <w:t>https://doi.org/10.1016/j.taap.2018.12.002</w:t>
        </w:r>
      </w:hyperlink>
      <w:r w:rsidRPr="00C10BBC">
        <w:rPr>
          <w:rFonts w:ascii="Calibri" w:eastAsia="Times New Roman" w:hAnsi="Calibri" w:cstheme="minorHAnsi"/>
          <w:spacing w:val="-2"/>
          <w:sz w:val="20"/>
          <w:szCs w:val="20"/>
        </w:rPr>
        <w:t xml:space="preserve"> </w:t>
      </w:r>
    </w:p>
    <w:p w14:paraId="46B2106A"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188"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30529164</w:t>
        </w:r>
      </w:hyperlink>
      <w:r w:rsidRPr="00C10BBC">
        <w:rPr>
          <w:rFonts w:ascii="Calibri" w:eastAsia="Times New Roman" w:hAnsi="Calibri" w:cstheme="minorHAnsi"/>
          <w:spacing w:val="-2"/>
          <w:sz w:val="20"/>
          <w:szCs w:val="20"/>
        </w:rPr>
        <w:t xml:space="preserve"> </w:t>
      </w:r>
    </w:p>
    <w:p w14:paraId="382C9BEF"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92.</w:t>
      </w:r>
      <w:r w:rsidRPr="00C10BBC">
        <w:rPr>
          <w:rFonts w:ascii="Calibri" w:eastAsia="Times New Roman" w:hAnsi="Calibri" w:cstheme="minorHAnsi"/>
          <w:spacing w:val="-2"/>
          <w:sz w:val="20"/>
          <w:szCs w:val="20"/>
        </w:rPr>
        <w:tab/>
      </w:r>
      <w:bookmarkStart w:id="187" w:name="b92"/>
      <w:bookmarkStart w:id="188" w:name="idm1008432336"/>
      <w:bookmarkEnd w:id="187"/>
      <w:bookmarkEnd w:id="188"/>
      <w:r w:rsidRPr="00C10BBC">
        <w:rPr>
          <w:rFonts w:ascii="Calibri" w:eastAsia="Times New Roman" w:hAnsi="Calibri" w:cstheme="minorHAnsi"/>
          <w:spacing w:val="-2"/>
          <w:sz w:val="20"/>
          <w:szCs w:val="20"/>
        </w:rPr>
        <w:t xml:space="preserve">Biros E, Moran CS, Maguire J, Holliday E, Levi C, Golledge J. Upregulation of arylsulfatase B in carotid atherosclerosis is associated with symptoms of cerebral embolization. Sci Rep. 2017; 7:4338. </w:t>
      </w:r>
    </w:p>
    <w:p w14:paraId="2266E91B"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189" w:tgtFrame="_blank" w:history="1">
        <w:r w:rsidRPr="00C10BBC">
          <w:rPr>
            <w:rFonts w:ascii="Calibri" w:eastAsia="Times New Roman" w:hAnsi="Calibri" w:cstheme="minorHAnsi"/>
            <w:color w:val="0000FF"/>
            <w:spacing w:val="-2"/>
            <w:sz w:val="20"/>
            <w:szCs w:val="20"/>
            <w:u w:val="single"/>
          </w:rPr>
          <w:t>https://doi.org/10.1038/s41598-017-04497-9</w:t>
        </w:r>
      </w:hyperlink>
      <w:r w:rsidRPr="00C10BBC">
        <w:rPr>
          <w:rFonts w:ascii="Calibri" w:eastAsia="Times New Roman" w:hAnsi="Calibri" w:cstheme="minorHAnsi"/>
          <w:spacing w:val="-2"/>
          <w:sz w:val="20"/>
          <w:szCs w:val="20"/>
        </w:rPr>
        <w:t xml:space="preserve"> </w:t>
      </w:r>
    </w:p>
    <w:p w14:paraId="61097D02"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190"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28659610</w:t>
        </w:r>
      </w:hyperlink>
      <w:r w:rsidRPr="00C10BBC">
        <w:rPr>
          <w:rFonts w:ascii="Calibri" w:eastAsia="Times New Roman" w:hAnsi="Calibri" w:cstheme="minorHAnsi"/>
          <w:spacing w:val="-2"/>
          <w:sz w:val="20"/>
          <w:szCs w:val="20"/>
        </w:rPr>
        <w:t xml:space="preserve"> </w:t>
      </w:r>
    </w:p>
    <w:p w14:paraId="440DAB84"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93.</w:t>
      </w:r>
      <w:r w:rsidRPr="00C10BBC">
        <w:rPr>
          <w:rFonts w:ascii="Calibri" w:eastAsia="Times New Roman" w:hAnsi="Calibri" w:cstheme="minorHAnsi"/>
          <w:spacing w:val="-2"/>
          <w:sz w:val="20"/>
          <w:szCs w:val="20"/>
        </w:rPr>
        <w:tab/>
      </w:r>
      <w:bookmarkStart w:id="189" w:name="b93"/>
      <w:bookmarkStart w:id="190" w:name="idm1008804608"/>
      <w:bookmarkEnd w:id="189"/>
      <w:bookmarkEnd w:id="190"/>
      <w:r w:rsidRPr="00C10BBC">
        <w:rPr>
          <w:rFonts w:ascii="Calibri" w:eastAsia="Times New Roman" w:hAnsi="Calibri" w:cstheme="minorHAnsi"/>
          <w:spacing w:val="-2"/>
          <w:sz w:val="20"/>
          <w:szCs w:val="20"/>
        </w:rPr>
        <w:t xml:space="preserve">Reynolds LM, Lohman K, Pittman GS, Barr RG, Chi GC, Kaufman J, Wan M, Bell DA, Blaha MJ, Rodriguez CJ, Liu Y. Tobacco exposure-related alterations in DNA methylation and gene expression in human monocytes: the Multi-Ethnic Study of Atherosclerosis (MESA). Epigenetics. 2017; 12:1092-100. </w:t>
      </w:r>
    </w:p>
    <w:p w14:paraId="5B79AF1C"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191" w:tgtFrame="_blank" w:history="1">
        <w:r w:rsidRPr="00C10BBC">
          <w:rPr>
            <w:rFonts w:ascii="Calibri" w:eastAsia="Times New Roman" w:hAnsi="Calibri" w:cstheme="minorHAnsi"/>
            <w:color w:val="0000FF"/>
            <w:spacing w:val="-2"/>
            <w:sz w:val="20"/>
            <w:szCs w:val="20"/>
            <w:u w:val="single"/>
          </w:rPr>
          <w:t>https://doi.org/10.1080/15592294.2017.1403692</w:t>
        </w:r>
      </w:hyperlink>
      <w:r w:rsidRPr="00C10BBC">
        <w:rPr>
          <w:rFonts w:ascii="Calibri" w:eastAsia="Times New Roman" w:hAnsi="Calibri" w:cstheme="minorHAnsi"/>
          <w:spacing w:val="-2"/>
          <w:sz w:val="20"/>
          <w:szCs w:val="20"/>
        </w:rPr>
        <w:t xml:space="preserve"> </w:t>
      </w:r>
    </w:p>
    <w:p w14:paraId="663F9BF0"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192"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29166816</w:t>
        </w:r>
      </w:hyperlink>
      <w:r w:rsidRPr="00C10BBC">
        <w:rPr>
          <w:rFonts w:ascii="Calibri" w:eastAsia="Times New Roman" w:hAnsi="Calibri" w:cstheme="minorHAnsi"/>
          <w:spacing w:val="-2"/>
          <w:sz w:val="20"/>
          <w:szCs w:val="20"/>
        </w:rPr>
        <w:t xml:space="preserve"> </w:t>
      </w:r>
    </w:p>
    <w:p w14:paraId="314E2D11"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94.</w:t>
      </w:r>
      <w:r w:rsidRPr="00C10BBC">
        <w:rPr>
          <w:rFonts w:ascii="Calibri" w:eastAsia="Times New Roman" w:hAnsi="Calibri" w:cstheme="minorHAnsi"/>
          <w:spacing w:val="-2"/>
          <w:sz w:val="20"/>
          <w:szCs w:val="20"/>
        </w:rPr>
        <w:tab/>
      </w:r>
      <w:bookmarkStart w:id="191" w:name="b94"/>
      <w:bookmarkStart w:id="192" w:name="idm1164372208"/>
      <w:bookmarkEnd w:id="191"/>
      <w:bookmarkEnd w:id="192"/>
      <w:r w:rsidRPr="00C10BBC">
        <w:rPr>
          <w:rFonts w:ascii="Calibri" w:eastAsia="Times New Roman" w:hAnsi="Calibri" w:cstheme="minorHAnsi"/>
          <w:spacing w:val="-2"/>
          <w:sz w:val="20"/>
          <w:szCs w:val="20"/>
        </w:rPr>
        <w:t xml:space="preserve">Bonta PI, van Tiel CM, Vos M, Pols TW, van Thienen JV, Ferreira V, Arkenbout EK, Seppen J, Spek CA, van der Poll T, Pannekoek H, de Vries CJ. Nuclear receptors Nur77, Nurr1, and NOR-1 expressed in atherosclerotic lesion macrophages reduce lipid loading and inflammatory responses. Arterioscler Thromb Vasc Biol. 2006; 26:2288-94. </w:t>
      </w:r>
    </w:p>
    <w:p w14:paraId="1F23A7B7"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193" w:tgtFrame="_blank" w:history="1">
        <w:r w:rsidRPr="00C10BBC">
          <w:rPr>
            <w:rFonts w:ascii="Calibri" w:eastAsia="Times New Roman" w:hAnsi="Calibri" w:cstheme="minorHAnsi"/>
            <w:color w:val="0000FF"/>
            <w:spacing w:val="-2"/>
            <w:sz w:val="20"/>
            <w:szCs w:val="20"/>
            <w:u w:val="single"/>
          </w:rPr>
          <w:t>https://doi.org/10.1161/01.ATV.0000238346.84458.5d</w:t>
        </w:r>
      </w:hyperlink>
      <w:r w:rsidRPr="00C10BBC">
        <w:rPr>
          <w:rFonts w:ascii="Calibri" w:eastAsia="Times New Roman" w:hAnsi="Calibri" w:cstheme="minorHAnsi"/>
          <w:spacing w:val="-2"/>
          <w:sz w:val="20"/>
          <w:szCs w:val="20"/>
        </w:rPr>
        <w:t xml:space="preserve"> </w:t>
      </w:r>
    </w:p>
    <w:p w14:paraId="35E5D659"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194"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16873729</w:t>
        </w:r>
      </w:hyperlink>
      <w:r w:rsidRPr="00C10BBC">
        <w:rPr>
          <w:rFonts w:ascii="Calibri" w:eastAsia="Times New Roman" w:hAnsi="Calibri" w:cstheme="minorHAnsi"/>
          <w:spacing w:val="-2"/>
          <w:sz w:val="20"/>
          <w:szCs w:val="20"/>
        </w:rPr>
        <w:t xml:space="preserve"> </w:t>
      </w:r>
    </w:p>
    <w:p w14:paraId="4D5CD705"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95.</w:t>
      </w:r>
      <w:r w:rsidRPr="00C10BBC">
        <w:rPr>
          <w:rFonts w:ascii="Calibri" w:eastAsia="Times New Roman" w:hAnsi="Calibri" w:cstheme="minorHAnsi"/>
          <w:spacing w:val="-2"/>
          <w:sz w:val="20"/>
          <w:szCs w:val="20"/>
        </w:rPr>
        <w:tab/>
      </w:r>
      <w:bookmarkStart w:id="193" w:name="b95"/>
      <w:bookmarkStart w:id="194" w:name="idm998973680"/>
      <w:bookmarkEnd w:id="193"/>
      <w:bookmarkEnd w:id="194"/>
      <w:r w:rsidRPr="00C10BBC">
        <w:rPr>
          <w:rFonts w:ascii="Calibri" w:eastAsia="Times New Roman" w:hAnsi="Calibri" w:cstheme="minorHAnsi"/>
          <w:spacing w:val="-2"/>
          <w:sz w:val="20"/>
          <w:szCs w:val="20"/>
        </w:rPr>
        <w:t xml:space="preserve">Swaminathan B, Goikuria H, Vega R, Rodriguez-Antiguedad A, Lopez Medina A, Freijo MM, Vandenbroeck K, Alloza I. Autophagic marker MAP1LC3B expression levels are associated with carotid atherosclerosis symptomatology. PLoS One. 2014; 9:e115176. </w:t>
      </w:r>
    </w:p>
    <w:p w14:paraId="7DB1A79D"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195" w:tgtFrame="_blank" w:history="1">
        <w:r w:rsidRPr="00C10BBC">
          <w:rPr>
            <w:rFonts w:ascii="Calibri" w:eastAsia="Times New Roman" w:hAnsi="Calibri" w:cstheme="minorHAnsi"/>
            <w:color w:val="0000FF"/>
            <w:spacing w:val="-2"/>
            <w:sz w:val="20"/>
            <w:szCs w:val="20"/>
            <w:u w:val="single"/>
          </w:rPr>
          <w:t>https://doi.org/10.1371/journal.pone.0115176</w:t>
        </w:r>
      </w:hyperlink>
      <w:r w:rsidRPr="00C10BBC">
        <w:rPr>
          <w:rFonts w:ascii="Calibri" w:eastAsia="Times New Roman" w:hAnsi="Calibri" w:cstheme="minorHAnsi"/>
          <w:spacing w:val="-2"/>
          <w:sz w:val="20"/>
          <w:szCs w:val="20"/>
        </w:rPr>
        <w:t xml:space="preserve"> </w:t>
      </w:r>
    </w:p>
    <w:p w14:paraId="23783935"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196"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25503069</w:t>
        </w:r>
      </w:hyperlink>
      <w:r w:rsidRPr="00C10BBC">
        <w:rPr>
          <w:rFonts w:ascii="Calibri" w:eastAsia="Times New Roman" w:hAnsi="Calibri" w:cstheme="minorHAnsi"/>
          <w:spacing w:val="-2"/>
          <w:sz w:val="20"/>
          <w:szCs w:val="20"/>
        </w:rPr>
        <w:t xml:space="preserve"> </w:t>
      </w:r>
    </w:p>
    <w:p w14:paraId="563773CE"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96.</w:t>
      </w:r>
      <w:r w:rsidRPr="00C10BBC">
        <w:rPr>
          <w:rFonts w:ascii="Calibri" w:eastAsia="Times New Roman" w:hAnsi="Calibri" w:cstheme="minorHAnsi"/>
          <w:spacing w:val="-2"/>
          <w:sz w:val="20"/>
          <w:szCs w:val="20"/>
        </w:rPr>
        <w:tab/>
      </w:r>
      <w:bookmarkStart w:id="195" w:name="b96"/>
      <w:bookmarkStart w:id="196" w:name="idm1141273264"/>
      <w:bookmarkEnd w:id="195"/>
      <w:bookmarkEnd w:id="196"/>
      <w:r w:rsidRPr="00C10BBC">
        <w:rPr>
          <w:rFonts w:ascii="Calibri" w:eastAsia="Times New Roman" w:hAnsi="Calibri" w:cstheme="minorHAnsi"/>
          <w:spacing w:val="-2"/>
          <w:sz w:val="20"/>
          <w:szCs w:val="20"/>
        </w:rPr>
        <w:t xml:space="preserve">Taylor JM, Borthwick F, Bartholomew C, Graham A. Overexpression of steroidogenic acute regulatory protein increases macrophage cholesterol efflux to apolipoprotein AI. Cardiovasc Res. 2010; 86:526-34. </w:t>
      </w:r>
    </w:p>
    <w:p w14:paraId="28627F9A"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197" w:tgtFrame="_blank" w:history="1">
        <w:r w:rsidRPr="00C10BBC">
          <w:rPr>
            <w:rFonts w:ascii="Calibri" w:eastAsia="Times New Roman" w:hAnsi="Calibri" w:cstheme="minorHAnsi"/>
            <w:color w:val="0000FF"/>
            <w:spacing w:val="-2"/>
            <w:sz w:val="20"/>
            <w:szCs w:val="20"/>
            <w:u w:val="single"/>
          </w:rPr>
          <w:t>https://doi.org/10.1093/cvr/cvq015</w:t>
        </w:r>
      </w:hyperlink>
      <w:r w:rsidRPr="00C10BBC">
        <w:rPr>
          <w:rFonts w:ascii="Calibri" w:eastAsia="Times New Roman" w:hAnsi="Calibri" w:cstheme="minorHAnsi"/>
          <w:spacing w:val="-2"/>
          <w:sz w:val="20"/>
          <w:szCs w:val="20"/>
        </w:rPr>
        <w:t xml:space="preserve"> </w:t>
      </w:r>
    </w:p>
    <w:p w14:paraId="65C601A6"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198"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20083572</w:t>
        </w:r>
      </w:hyperlink>
      <w:r w:rsidRPr="00C10BBC">
        <w:rPr>
          <w:rFonts w:ascii="Calibri" w:eastAsia="Times New Roman" w:hAnsi="Calibri" w:cstheme="minorHAnsi"/>
          <w:spacing w:val="-2"/>
          <w:sz w:val="20"/>
          <w:szCs w:val="20"/>
        </w:rPr>
        <w:t xml:space="preserve"> </w:t>
      </w:r>
    </w:p>
    <w:p w14:paraId="783A1AD0"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97.</w:t>
      </w:r>
      <w:r w:rsidRPr="00C10BBC">
        <w:rPr>
          <w:rFonts w:ascii="Calibri" w:eastAsia="Times New Roman" w:hAnsi="Calibri" w:cstheme="minorHAnsi"/>
          <w:spacing w:val="-2"/>
          <w:sz w:val="20"/>
          <w:szCs w:val="20"/>
        </w:rPr>
        <w:tab/>
      </w:r>
      <w:bookmarkStart w:id="197" w:name="b97"/>
      <w:bookmarkStart w:id="198" w:name="idm1004212880"/>
      <w:bookmarkEnd w:id="197"/>
      <w:bookmarkEnd w:id="198"/>
      <w:r w:rsidRPr="00C10BBC">
        <w:rPr>
          <w:rFonts w:ascii="Calibri" w:eastAsia="Times New Roman" w:hAnsi="Calibri" w:cstheme="minorHAnsi"/>
          <w:spacing w:val="-2"/>
          <w:sz w:val="20"/>
          <w:szCs w:val="20"/>
        </w:rPr>
        <w:t xml:space="preserve">Yu XH, Zhang DW, Zheng XL, Tang CK. Cholesterol transport system: an integrated cholesterol transport model involved in atherosclerosis. Prog Lipid Res. 2019; 73:65-91. </w:t>
      </w:r>
    </w:p>
    <w:p w14:paraId="682391C6"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199" w:tgtFrame="_blank" w:history="1">
        <w:r w:rsidRPr="00C10BBC">
          <w:rPr>
            <w:rFonts w:ascii="Calibri" w:eastAsia="Times New Roman" w:hAnsi="Calibri" w:cstheme="minorHAnsi"/>
            <w:color w:val="0000FF"/>
            <w:spacing w:val="-2"/>
            <w:sz w:val="20"/>
            <w:szCs w:val="20"/>
            <w:u w:val="single"/>
          </w:rPr>
          <w:t>https://doi.org/10.1016/j.plipres.2018.12.002</w:t>
        </w:r>
      </w:hyperlink>
      <w:r w:rsidRPr="00C10BBC">
        <w:rPr>
          <w:rFonts w:ascii="Calibri" w:eastAsia="Times New Roman" w:hAnsi="Calibri" w:cstheme="minorHAnsi"/>
          <w:spacing w:val="-2"/>
          <w:sz w:val="20"/>
          <w:szCs w:val="20"/>
        </w:rPr>
        <w:t xml:space="preserve"> </w:t>
      </w:r>
    </w:p>
    <w:p w14:paraId="379C4EA5"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200"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30528667</w:t>
        </w:r>
      </w:hyperlink>
      <w:r w:rsidRPr="00C10BBC">
        <w:rPr>
          <w:rFonts w:ascii="Calibri" w:eastAsia="Times New Roman" w:hAnsi="Calibri" w:cstheme="minorHAnsi"/>
          <w:spacing w:val="-2"/>
          <w:sz w:val="20"/>
          <w:szCs w:val="20"/>
        </w:rPr>
        <w:t xml:space="preserve"> </w:t>
      </w:r>
    </w:p>
    <w:p w14:paraId="0281D122"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98.</w:t>
      </w:r>
      <w:r w:rsidRPr="00C10BBC">
        <w:rPr>
          <w:rFonts w:ascii="Calibri" w:eastAsia="Times New Roman" w:hAnsi="Calibri" w:cstheme="minorHAnsi"/>
          <w:spacing w:val="-2"/>
          <w:sz w:val="20"/>
          <w:szCs w:val="20"/>
        </w:rPr>
        <w:tab/>
      </w:r>
      <w:bookmarkStart w:id="199" w:name="b98"/>
      <w:bookmarkStart w:id="200" w:name="idm998139984"/>
      <w:bookmarkEnd w:id="199"/>
      <w:bookmarkEnd w:id="200"/>
      <w:r w:rsidRPr="00C10BBC">
        <w:rPr>
          <w:rFonts w:ascii="Calibri" w:eastAsia="Times New Roman" w:hAnsi="Calibri" w:cstheme="minorHAnsi"/>
          <w:spacing w:val="-2"/>
          <w:sz w:val="20"/>
          <w:szCs w:val="20"/>
        </w:rPr>
        <w:t xml:space="preserve">Xiong YS, Wu AL, Mu D, Yu J, Zeng P, Sun Y, Xiong J. Inhibition of siglec-1 by lentivirus mediated small interfering RNA attenuates atherogenesis in apoE-deficient mice. Clin Immunol. 2017; 174:32-40. </w:t>
      </w:r>
    </w:p>
    <w:p w14:paraId="4940B9E0"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201" w:tgtFrame="_blank" w:history="1">
        <w:r w:rsidRPr="00C10BBC">
          <w:rPr>
            <w:rFonts w:ascii="Calibri" w:eastAsia="Times New Roman" w:hAnsi="Calibri" w:cstheme="minorHAnsi"/>
            <w:color w:val="0000FF"/>
            <w:spacing w:val="-2"/>
            <w:sz w:val="20"/>
            <w:szCs w:val="20"/>
            <w:u w:val="single"/>
          </w:rPr>
          <w:t>https://doi.org/10.1016/j.clim.2016.11.005</w:t>
        </w:r>
      </w:hyperlink>
      <w:r w:rsidRPr="00C10BBC">
        <w:rPr>
          <w:rFonts w:ascii="Calibri" w:eastAsia="Times New Roman" w:hAnsi="Calibri" w:cstheme="minorHAnsi"/>
          <w:spacing w:val="-2"/>
          <w:sz w:val="20"/>
          <w:szCs w:val="20"/>
        </w:rPr>
        <w:t xml:space="preserve"> </w:t>
      </w:r>
    </w:p>
    <w:p w14:paraId="5327ACE1"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202"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27871915</w:t>
        </w:r>
      </w:hyperlink>
      <w:r w:rsidRPr="00C10BBC">
        <w:rPr>
          <w:rFonts w:ascii="Calibri" w:eastAsia="Times New Roman" w:hAnsi="Calibri" w:cstheme="minorHAnsi"/>
          <w:spacing w:val="-2"/>
          <w:sz w:val="20"/>
          <w:szCs w:val="20"/>
        </w:rPr>
        <w:t xml:space="preserve"> </w:t>
      </w:r>
    </w:p>
    <w:p w14:paraId="342010CD"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99.</w:t>
      </w:r>
      <w:r w:rsidRPr="00C10BBC">
        <w:rPr>
          <w:rFonts w:ascii="Calibri" w:eastAsia="Times New Roman" w:hAnsi="Calibri" w:cstheme="minorHAnsi"/>
          <w:spacing w:val="-2"/>
          <w:sz w:val="20"/>
          <w:szCs w:val="20"/>
        </w:rPr>
        <w:tab/>
      </w:r>
      <w:bookmarkStart w:id="201" w:name="b99"/>
      <w:bookmarkStart w:id="202" w:name="idm1167531552"/>
      <w:bookmarkEnd w:id="201"/>
      <w:bookmarkEnd w:id="202"/>
      <w:r w:rsidRPr="00C10BBC">
        <w:rPr>
          <w:rFonts w:ascii="Calibri" w:eastAsia="Times New Roman" w:hAnsi="Calibri" w:cstheme="minorHAnsi"/>
          <w:spacing w:val="-2"/>
          <w:sz w:val="20"/>
          <w:szCs w:val="20"/>
        </w:rPr>
        <w:t xml:space="preserve">Bai HL, Lu ZF, Zhao JJ, Ma X, Li XH, Xu H, Wu SG, Kang CM, Lu JB, Xu YJ, Xiao L, Wu Q, Ye S, et al. Microarray profiling analysis and validation of novel long noncoding RNAs and mRNAs as potential biomarkers and their functions in atherosclerosis. Physiol Genomics. 2019; 51:644-56. </w:t>
      </w:r>
    </w:p>
    <w:p w14:paraId="4D3152E0"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203" w:tgtFrame="_blank" w:history="1">
        <w:r w:rsidRPr="00C10BBC">
          <w:rPr>
            <w:rFonts w:ascii="Calibri" w:eastAsia="Times New Roman" w:hAnsi="Calibri" w:cstheme="minorHAnsi"/>
            <w:color w:val="0000FF"/>
            <w:spacing w:val="-2"/>
            <w:sz w:val="20"/>
            <w:szCs w:val="20"/>
            <w:u w:val="single"/>
          </w:rPr>
          <w:t>https://doi.org/10.1152/physiolgenomics.00077.2019</w:t>
        </w:r>
      </w:hyperlink>
      <w:r w:rsidRPr="00C10BBC">
        <w:rPr>
          <w:rFonts w:ascii="Calibri" w:eastAsia="Times New Roman" w:hAnsi="Calibri" w:cstheme="minorHAnsi"/>
          <w:spacing w:val="-2"/>
          <w:sz w:val="20"/>
          <w:szCs w:val="20"/>
        </w:rPr>
        <w:t xml:space="preserve"> </w:t>
      </w:r>
    </w:p>
    <w:p w14:paraId="7845435F"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204"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31682178</w:t>
        </w:r>
      </w:hyperlink>
      <w:r w:rsidRPr="00C10BBC">
        <w:rPr>
          <w:rFonts w:ascii="Calibri" w:eastAsia="Times New Roman" w:hAnsi="Calibri" w:cstheme="minorHAnsi"/>
          <w:spacing w:val="-2"/>
          <w:sz w:val="20"/>
          <w:szCs w:val="20"/>
        </w:rPr>
        <w:t xml:space="preserve"> </w:t>
      </w:r>
    </w:p>
    <w:p w14:paraId="14369836"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100.</w:t>
      </w:r>
      <w:r w:rsidRPr="00C10BBC">
        <w:rPr>
          <w:rFonts w:ascii="Calibri" w:eastAsia="Times New Roman" w:hAnsi="Calibri" w:cstheme="minorHAnsi"/>
          <w:spacing w:val="-2"/>
          <w:sz w:val="20"/>
          <w:szCs w:val="20"/>
        </w:rPr>
        <w:tab/>
      </w:r>
      <w:bookmarkStart w:id="203" w:name="b100"/>
      <w:bookmarkStart w:id="204" w:name="idm1007577168"/>
      <w:bookmarkEnd w:id="203"/>
      <w:bookmarkEnd w:id="204"/>
      <w:r w:rsidRPr="00C10BBC">
        <w:rPr>
          <w:rFonts w:ascii="Calibri" w:eastAsia="Times New Roman" w:hAnsi="Calibri" w:cstheme="minorHAnsi"/>
          <w:spacing w:val="-2"/>
          <w:sz w:val="20"/>
          <w:szCs w:val="20"/>
        </w:rPr>
        <w:t xml:space="preserve">Stellos K, Gatsiou A, Stamatelopoulos K, Perisic Matic L, John D, Lunella FF, Jae N, Rossbach O, Amrhein C, Sigala F, Boon RA, Furtig B, Manavski Y, et al. Adenosine-to-inosine RNA editing controls cathepsin S expression in atherosclerosis by enabling HuR-mediated post-transcriptional regulation. Nat Med. 2016; 22:1140-50. </w:t>
      </w:r>
    </w:p>
    <w:p w14:paraId="0D7A1D79"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205" w:tgtFrame="_blank" w:history="1">
        <w:r w:rsidRPr="00C10BBC">
          <w:rPr>
            <w:rFonts w:ascii="Calibri" w:eastAsia="Times New Roman" w:hAnsi="Calibri" w:cstheme="minorHAnsi"/>
            <w:color w:val="0000FF"/>
            <w:spacing w:val="-2"/>
            <w:sz w:val="20"/>
            <w:szCs w:val="20"/>
            <w:u w:val="single"/>
          </w:rPr>
          <w:t>https://doi.org/10.1038/nm.4172</w:t>
        </w:r>
      </w:hyperlink>
      <w:r w:rsidRPr="00C10BBC">
        <w:rPr>
          <w:rFonts w:ascii="Calibri" w:eastAsia="Times New Roman" w:hAnsi="Calibri" w:cstheme="minorHAnsi"/>
          <w:spacing w:val="-2"/>
          <w:sz w:val="20"/>
          <w:szCs w:val="20"/>
        </w:rPr>
        <w:t xml:space="preserve"> </w:t>
      </w:r>
    </w:p>
    <w:p w14:paraId="20C953DF"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206"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27595325</w:t>
        </w:r>
      </w:hyperlink>
      <w:r w:rsidRPr="00C10BBC">
        <w:rPr>
          <w:rFonts w:ascii="Calibri" w:eastAsia="Times New Roman" w:hAnsi="Calibri" w:cstheme="minorHAnsi"/>
          <w:spacing w:val="-2"/>
          <w:sz w:val="20"/>
          <w:szCs w:val="20"/>
        </w:rPr>
        <w:t xml:space="preserve"> </w:t>
      </w:r>
    </w:p>
    <w:p w14:paraId="66A34C3B"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101.</w:t>
      </w:r>
      <w:r w:rsidRPr="00C10BBC">
        <w:rPr>
          <w:rFonts w:ascii="Calibri" w:eastAsia="Times New Roman" w:hAnsi="Calibri" w:cstheme="minorHAnsi"/>
          <w:spacing w:val="-2"/>
          <w:sz w:val="20"/>
          <w:szCs w:val="20"/>
        </w:rPr>
        <w:tab/>
      </w:r>
      <w:bookmarkStart w:id="205" w:name="b101"/>
      <w:bookmarkStart w:id="206" w:name="idm1002546656"/>
      <w:bookmarkEnd w:id="205"/>
      <w:bookmarkEnd w:id="206"/>
      <w:r w:rsidRPr="00C10BBC">
        <w:rPr>
          <w:rFonts w:ascii="Calibri" w:eastAsia="Times New Roman" w:hAnsi="Calibri" w:cstheme="minorHAnsi"/>
          <w:spacing w:val="-2"/>
          <w:sz w:val="20"/>
          <w:szCs w:val="20"/>
        </w:rPr>
        <w:t xml:space="preserve">Roncal C, Buysschaert I, Gerdes N, Georgiadou M, Ovchinnikova O, Fischer C, Stassen JM, Moons L, Collen D, De Bock K, Hansson GK, Carmeliet P. Short-term delivery of anti-PlGF antibody delays progression of atherosclerotic plaques to vulnerable lesions. Cardiovasc Res. 2010; 86:29-36. </w:t>
      </w:r>
    </w:p>
    <w:p w14:paraId="21B05272"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207" w:tgtFrame="_blank" w:history="1">
        <w:r w:rsidRPr="00C10BBC">
          <w:rPr>
            <w:rFonts w:ascii="Calibri" w:eastAsia="Times New Roman" w:hAnsi="Calibri" w:cstheme="minorHAnsi"/>
            <w:color w:val="0000FF"/>
            <w:spacing w:val="-2"/>
            <w:sz w:val="20"/>
            <w:szCs w:val="20"/>
            <w:u w:val="single"/>
          </w:rPr>
          <w:t>https://doi.org/10.1093/cvr/cvp380</w:t>
        </w:r>
      </w:hyperlink>
      <w:r w:rsidRPr="00C10BBC">
        <w:rPr>
          <w:rFonts w:ascii="Calibri" w:eastAsia="Times New Roman" w:hAnsi="Calibri" w:cstheme="minorHAnsi"/>
          <w:spacing w:val="-2"/>
          <w:sz w:val="20"/>
          <w:szCs w:val="20"/>
        </w:rPr>
        <w:t xml:space="preserve"> </w:t>
      </w:r>
    </w:p>
    <w:p w14:paraId="04579F2F"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208"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19952000</w:t>
        </w:r>
      </w:hyperlink>
      <w:r w:rsidRPr="00C10BBC">
        <w:rPr>
          <w:rFonts w:ascii="Calibri" w:eastAsia="Times New Roman" w:hAnsi="Calibri" w:cstheme="minorHAnsi"/>
          <w:spacing w:val="-2"/>
          <w:sz w:val="20"/>
          <w:szCs w:val="20"/>
        </w:rPr>
        <w:t xml:space="preserve"> </w:t>
      </w:r>
    </w:p>
    <w:p w14:paraId="3082714B"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102.</w:t>
      </w:r>
      <w:r w:rsidRPr="00C10BBC">
        <w:rPr>
          <w:rFonts w:ascii="Calibri" w:eastAsia="Times New Roman" w:hAnsi="Calibri" w:cstheme="minorHAnsi"/>
          <w:spacing w:val="-2"/>
          <w:sz w:val="20"/>
          <w:szCs w:val="20"/>
        </w:rPr>
        <w:tab/>
      </w:r>
      <w:bookmarkStart w:id="207" w:name="b102"/>
      <w:bookmarkStart w:id="208" w:name="idm1170339120"/>
      <w:bookmarkEnd w:id="207"/>
      <w:bookmarkEnd w:id="208"/>
      <w:r w:rsidRPr="00C10BBC">
        <w:rPr>
          <w:rFonts w:ascii="Calibri" w:eastAsia="Times New Roman" w:hAnsi="Calibri" w:cstheme="minorHAnsi"/>
          <w:spacing w:val="-2"/>
          <w:sz w:val="20"/>
          <w:szCs w:val="20"/>
        </w:rPr>
        <w:t xml:space="preserve">Wang G, Watanabe M, Imai Y, Hara K, Manabe I, Maemura K, Horikoshi M, Kohro T, Amiya E, Sugiyama T, Fujita T, Kadowaki T, Yamazaki T, Nagai R. Genetic variations of Mrf-2/ARID5B confer risk of coronary atherosclerosis in the Japanese population. Int Heart J. 2008; 49:313-27. </w:t>
      </w:r>
    </w:p>
    <w:p w14:paraId="17410BF6"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209" w:tgtFrame="_blank" w:history="1">
        <w:r w:rsidRPr="00C10BBC">
          <w:rPr>
            <w:rFonts w:ascii="Calibri" w:eastAsia="Times New Roman" w:hAnsi="Calibri" w:cstheme="minorHAnsi"/>
            <w:color w:val="0000FF"/>
            <w:spacing w:val="-2"/>
            <w:sz w:val="20"/>
            <w:szCs w:val="20"/>
            <w:u w:val="single"/>
          </w:rPr>
          <w:t>https://doi.org/10.1536/ihj.49.313</w:t>
        </w:r>
      </w:hyperlink>
      <w:r w:rsidRPr="00C10BBC">
        <w:rPr>
          <w:rFonts w:ascii="Calibri" w:eastAsia="Times New Roman" w:hAnsi="Calibri" w:cstheme="minorHAnsi"/>
          <w:spacing w:val="-2"/>
          <w:sz w:val="20"/>
          <w:szCs w:val="20"/>
        </w:rPr>
        <w:t xml:space="preserve"> </w:t>
      </w:r>
    </w:p>
    <w:p w14:paraId="35749B4F"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210"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18612189</w:t>
        </w:r>
      </w:hyperlink>
      <w:r w:rsidRPr="00C10BBC">
        <w:rPr>
          <w:rFonts w:ascii="Calibri" w:eastAsia="Times New Roman" w:hAnsi="Calibri" w:cstheme="minorHAnsi"/>
          <w:spacing w:val="-2"/>
          <w:sz w:val="20"/>
          <w:szCs w:val="20"/>
        </w:rPr>
        <w:t xml:space="preserve"> </w:t>
      </w:r>
    </w:p>
    <w:p w14:paraId="5576EF5A"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103.</w:t>
      </w:r>
      <w:r w:rsidRPr="00C10BBC">
        <w:rPr>
          <w:rFonts w:ascii="Calibri" w:eastAsia="Times New Roman" w:hAnsi="Calibri" w:cstheme="minorHAnsi"/>
          <w:spacing w:val="-2"/>
          <w:sz w:val="20"/>
          <w:szCs w:val="20"/>
        </w:rPr>
        <w:tab/>
      </w:r>
      <w:bookmarkStart w:id="209" w:name="b103"/>
      <w:bookmarkStart w:id="210" w:name="idm1169195184"/>
      <w:bookmarkEnd w:id="209"/>
      <w:bookmarkEnd w:id="210"/>
      <w:r w:rsidRPr="00C10BBC">
        <w:rPr>
          <w:rFonts w:ascii="Calibri" w:eastAsia="Times New Roman" w:hAnsi="Calibri" w:cstheme="minorHAnsi"/>
          <w:spacing w:val="-2"/>
          <w:sz w:val="20"/>
          <w:szCs w:val="20"/>
        </w:rPr>
        <w:t xml:space="preserve">Westerterp M, Fotakis P, Ouimet M, Bochem AE, Zhang H, Molusky MM, Wang W, Abramowicz S, la Bastide-van Gemert S, Wang N, Welch CL, Reilly MP, Stroes ES, et al. Cholesterol Efflux Pathways Suppress Inflammasome Activation, NETosis, and Atherogenesis. Circulation. 2018; 138:898-912. </w:t>
      </w:r>
    </w:p>
    <w:p w14:paraId="4EC93EBD"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211" w:tgtFrame="_blank" w:history="1">
        <w:r w:rsidRPr="00C10BBC">
          <w:rPr>
            <w:rFonts w:ascii="Calibri" w:eastAsia="Times New Roman" w:hAnsi="Calibri" w:cstheme="minorHAnsi"/>
            <w:color w:val="0000FF"/>
            <w:spacing w:val="-2"/>
            <w:sz w:val="20"/>
            <w:szCs w:val="20"/>
            <w:u w:val="single"/>
          </w:rPr>
          <w:t>https://doi.org/10.1161/CIRCULATIONAHA.117.032636</w:t>
        </w:r>
      </w:hyperlink>
      <w:r w:rsidRPr="00C10BBC">
        <w:rPr>
          <w:rFonts w:ascii="Calibri" w:eastAsia="Times New Roman" w:hAnsi="Calibri" w:cstheme="minorHAnsi"/>
          <w:spacing w:val="-2"/>
          <w:sz w:val="20"/>
          <w:szCs w:val="20"/>
        </w:rPr>
        <w:t xml:space="preserve"> </w:t>
      </w:r>
    </w:p>
    <w:p w14:paraId="1978B9D8"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212"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29588315</w:t>
        </w:r>
      </w:hyperlink>
      <w:r w:rsidRPr="00C10BBC">
        <w:rPr>
          <w:rFonts w:ascii="Calibri" w:eastAsia="Times New Roman" w:hAnsi="Calibri" w:cstheme="minorHAnsi"/>
          <w:spacing w:val="-2"/>
          <w:sz w:val="20"/>
          <w:szCs w:val="20"/>
        </w:rPr>
        <w:t xml:space="preserve"> </w:t>
      </w:r>
    </w:p>
    <w:p w14:paraId="477E5D7F"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104.</w:t>
      </w:r>
      <w:r w:rsidRPr="00C10BBC">
        <w:rPr>
          <w:rFonts w:ascii="Calibri" w:eastAsia="Times New Roman" w:hAnsi="Calibri" w:cstheme="minorHAnsi"/>
          <w:spacing w:val="-2"/>
          <w:sz w:val="20"/>
          <w:szCs w:val="20"/>
        </w:rPr>
        <w:tab/>
      </w:r>
      <w:bookmarkStart w:id="211" w:name="b104"/>
      <w:bookmarkStart w:id="212" w:name="idm1168115536"/>
      <w:bookmarkEnd w:id="211"/>
      <w:bookmarkEnd w:id="212"/>
      <w:r w:rsidRPr="00C10BBC">
        <w:rPr>
          <w:rFonts w:ascii="Calibri" w:eastAsia="Times New Roman" w:hAnsi="Calibri" w:cstheme="minorHAnsi"/>
          <w:spacing w:val="-2"/>
          <w:sz w:val="20"/>
          <w:szCs w:val="20"/>
        </w:rPr>
        <w:t xml:space="preserve">Wu JF, Wang Y, Zhang M, Tang YY, Wang B, He PP, Lv YC, Ouyang XP, Yao F, Tan YL, Tang SL, Tang DP, Cayabyab FS, et al. Growth differentiation factor-15 induces expression of ATP-binding cassette transporter A1 through PI3-K/PKC?/SP1 pathway in THP-1 macrophages. Biochem Biophys Res Commun. 2014; 444:325-31. </w:t>
      </w:r>
    </w:p>
    <w:p w14:paraId="55D5BCA8"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213" w:tgtFrame="_blank" w:history="1">
        <w:r w:rsidRPr="00C10BBC">
          <w:rPr>
            <w:rFonts w:ascii="Calibri" w:eastAsia="Times New Roman" w:hAnsi="Calibri" w:cstheme="minorHAnsi"/>
            <w:color w:val="0000FF"/>
            <w:spacing w:val="-2"/>
            <w:sz w:val="20"/>
            <w:szCs w:val="20"/>
            <w:u w:val="single"/>
          </w:rPr>
          <w:t>https://doi.org/10.1016/j.bbrc.2014.01.048</w:t>
        </w:r>
      </w:hyperlink>
      <w:r w:rsidRPr="00C10BBC">
        <w:rPr>
          <w:rFonts w:ascii="Calibri" w:eastAsia="Times New Roman" w:hAnsi="Calibri" w:cstheme="minorHAnsi"/>
          <w:spacing w:val="-2"/>
          <w:sz w:val="20"/>
          <w:szCs w:val="20"/>
        </w:rPr>
        <w:t xml:space="preserve"> </w:t>
      </w:r>
    </w:p>
    <w:p w14:paraId="03B36BFA"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214"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24462860</w:t>
        </w:r>
      </w:hyperlink>
      <w:r w:rsidRPr="00C10BBC">
        <w:rPr>
          <w:rFonts w:ascii="Calibri" w:eastAsia="Times New Roman" w:hAnsi="Calibri" w:cstheme="minorHAnsi"/>
          <w:spacing w:val="-2"/>
          <w:sz w:val="20"/>
          <w:szCs w:val="20"/>
        </w:rPr>
        <w:t xml:space="preserve"> </w:t>
      </w:r>
    </w:p>
    <w:p w14:paraId="1541FB5D"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105.</w:t>
      </w:r>
      <w:r w:rsidRPr="00C10BBC">
        <w:rPr>
          <w:rFonts w:ascii="Calibri" w:eastAsia="Times New Roman" w:hAnsi="Calibri" w:cstheme="minorHAnsi"/>
          <w:spacing w:val="-2"/>
          <w:sz w:val="20"/>
          <w:szCs w:val="20"/>
        </w:rPr>
        <w:tab/>
      </w:r>
      <w:bookmarkStart w:id="213" w:name="b105"/>
      <w:bookmarkStart w:id="214" w:name="idm1141516944"/>
      <w:bookmarkEnd w:id="213"/>
      <w:bookmarkEnd w:id="214"/>
      <w:r w:rsidRPr="00C10BBC">
        <w:rPr>
          <w:rFonts w:ascii="Calibri" w:eastAsia="Times New Roman" w:hAnsi="Calibri" w:cstheme="minorHAnsi"/>
          <w:spacing w:val="-2"/>
          <w:sz w:val="20"/>
          <w:szCs w:val="20"/>
        </w:rPr>
        <w:t xml:space="preserve">Hurtado B, Munoz X, Recarte-Pelz P, Garcia N, Luque A, Krupinski J, Sala N, Garcia de Frutos P. Expression of the vitamin K-dependent proteins GAS6 and protein S and the TAM receptor tyrosine kinases in human atherosclerotic carotid plaques. Thromb Haemost. 2011; 105:873-82. </w:t>
      </w:r>
    </w:p>
    <w:p w14:paraId="1F54D257"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215" w:tgtFrame="_blank" w:history="1">
        <w:r w:rsidRPr="00C10BBC">
          <w:rPr>
            <w:rFonts w:ascii="Calibri" w:eastAsia="Times New Roman" w:hAnsi="Calibri" w:cstheme="minorHAnsi"/>
            <w:color w:val="0000FF"/>
            <w:spacing w:val="-2"/>
            <w:sz w:val="20"/>
            <w:szCs w:val="20"/>
            <w:u w:val="single"/>
          </w:rPr>
          <w:t>https://doi.org/10.1160/TH10-10-0630</w:t>
        </w:r>
      </w:hyperlink>
      <w:r w:rsidRPr="00C10BBC">
        <w:rPr>
          <w:rFonts w:ascii="Calibri" w:eastAsia="Times New Roman" w:hAnsi="Calibri" w:cstheme="minorHAnsi"/>
          <w:spacing w:val="-2"/>
          <w:sz w:val="20"/>
          <w:szCs w:val="20"/>
        </w:rPr>
        <w:t xml:space="preserve"> </w:t>
      </w:r>
    </w:p>
    <w:p w14:paraId="141605E3"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216"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21384080</w:t>
        </w:r>
      </w:hyperlink>
      <w:r w:rsidRPr="00C10BBC">
        <w:rPr>
          <w:rFonts w:ascii="Calibri" w:eastAsia="Times New Roman" w:hAnsi="Calibri" w:cstheme="minorHAnsi"/>
          <w:spacing w:val="-2"/>
          <w:sz w:val="20"/>
          <w:szCs w:val="20"/>
        </w:rPr>
        <w:t xml:space="preserve"> </w:t>
      </w:r>
    </w:p>
    <w:p w14:paraId="2BEC845F"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106.</w:t>
      </w:r>
      <w:r w:rsidRPr="00C10BBC">
        <w:rPr>
          <w:rFonts w:ascii="Calibri" w:eastAsia="Times New Roman" w:hAnsi="Calibri" w:cstheme="minorHAnsi"/>
          <w:spacing w:val="-2"/>
          <w:sz w:val="20"/>
          <w:szCs w:val="20"/>
        </w:rPr>
        <w:tab/>
      </w:r>
      <w:bookmarkStart w:id="215" w:name="b106"/>
      <w:bookmarkStart w:id="216" w:name="idm1013219632"/>
      <w:bookmarkEnd w:id="215"/>
      <w:bookmarkEnd w:id="216"/>
      <w:r w:rsidRPr="00C10BBC">
        <w:rPr>
          <w:rFonts w:ascii="Calibri" w:eastAsia="Times New Roman" w:hAnsi="Calibri" w:cstheme="minorHAnsi"/>
          <w:spacing w:val="-2"/>
          <w:sz w:val="20"/>
          <w:szCs w:val="20"/>
        </w:rPr>
        <w:t xml:space="preserve">Lundberg AM, Ketelhuth DF, Johansson ME, Gerdes N, Liu S, Yamamoto M, Akira S, Hansson GK. Toll-like receptor 3 and 4 signalling through the TRIF and TRAM adaptors in haematopoietic cells promotes atherosclerosis. Cardiovasc Res. 2013; 99:364-73. </w:t>
      </w:r>
    </w:p>
    <w:p w14:paraId="2B9EFF1D"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217" w:tgtFrame="_blank" w:history="1">
        <w:r w:rsidRPr="00C10BBC">
          <w:rPr>
            <w:rFonts w:ascii="Calibri" w:eastAsia="Times New Roman" w:hAnsi="Calibri" w:cstheme="minorHAnsi"/>
            <w:color w:val="0000FF"/>
            <w:spacing w:val="-2"/>
            <w:sz w:val="20"/>
            <w:szCs w:val="20"/>
            <w:u w:val="single"/>
          </w:rPr>
          <w:t>https://doi.org/10.1093/cvr/cvt033</w:t>
        </w:r>
      </w:hyperlink>
      <w:r w:rsidRPr="00C10BBC">
        <w:rPr>
          <w:rFonts w:ascii="Calibri" w:eastAsia="Times New Roman" w:hAnsi="Calibri" w:cstheme="minorHAnsi"/>
          <w:spacing w:val="-2"/>
          <w:sz w:val="20"/>
          <w:szCs w:val="20"/>
        </w:rPr>
        <w:t xml:space="preserve"> </w:t>
      </w:r>
    </w:p>
    <w:p w14:paraId="0DADC3C5"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218"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23417039</w:t>
        </w:r>
      </w:hyperlink>
      <w:r w:rsidRPr="00C10BBC">
        <w:rPr>
          <w:rFonts w:ascii="Calibri" w:eastAsia="Times New Roman" w:hAnsi="Calibri" w:cstheme="minorHAnsi"/>
          <w:spacing w:val="-2"/>
          <w:sz w:val="20"/>
          <w:szCs w:val="20"/>
        </w:rPr>
        <w:t xml:space="preserve"> </w:t>
      </w:r>
    </w:p>
    <w:p w14:paraId="5E3C13F0"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107.</w:t>
      </w:r>
      <w:r w:rsidRPr="00C10BBC">
        <w:rPr>
          <w:rFonts w:ascii="Calibri" w:eastAsia="Times New Roman" w:hAnsi="Calibri" w:cstheme="minorHAnsi"/>
          <w:spacing w:val="-2"/>
          <w:sz w:val="20"/>
          <w:szCs w:val="20"/>
        </w:rPr>
        <w:tab/>
      </w:r>
      <w:bookmarkStart w:id="217" w:name="b107"/>
      <w:bookmarkStart w:id="218" w:name="idm1001685440"/>
      <w:bookmarkEnd w:id="217"/>
      <w:bookmarkEnd w:id="218"/>
      <w:r w:rsidRPr="00C10BBC">
        <w:rPr>
          <w:rFonts w:ascii="Calibri" w:eastAsia="Times New Roman" w:hAnsi="Calibri" w:cstheme="minorHAnsi"/>
          <w:spacing w:val="-2"/>
          <w:sz w:val="20"/>
          <w:szCs w:val="20"/>
        </w:rPr>
        <w:t xml:space="preserve">Dubovyk YI, Oleshko TB, Harbuzova VY, Ataman AV. Positive Association between </w:t>
      </w:r>
      <w:r w:rsidRPr="00C10BBC">
        <w:rPr>
          <w:rFonts w:ascii="Calibri" w:eastAsia="Times New Roman" w:hAnsi="Calibri" w:cstheme="minorHAnsi"/>
          <w:i/>
          <w:iCs/>
          <w:spacing w:val="-2"/>
          <w:sz w:val="20"/>
          <w:szCs w:val="20"/>
        </w:rPr>
        <w:t>EDN1</w:t>
      </w:r>
      <w:r w:rsidRPr="00C10BBC">
        <w:rPr>
          <w:rFonts w:ascii="Calibri" w:eastAsia="Times New Roman" w:hAnsi="Calibri" w:cstheme="minorHAnsi"/>
          <w:spacing w:val="-2"/>
          <w:sz w:val="20"/>
          <w:szCs w:val="20"/>
        </w:rPr>
        <w:t xml:space="preserve"> rs5370 (Lys198Asn) Polymorphism and Large Artery Stroke in a Ukrainian Population. Dis Markers. 2018; 2018:1695782. </w:t>
      </w:r>
    </w:p>
    <w:p w14:paraId="41D5C0F1"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219" w:tgtFrame="_blank" w:history="1">
        <w:r w:rsidRPr="00C10BBC">
          <w:rPr>
            <w:rFonts w:ascii="Calibri" w:eastAsia="Times New Roman" w:hAnsi="Calibri" w:cstheme="minorHAnsi"/>
            <w:color w:val="0000FF"/>
            <w:spacing w:val="-2"/>
            <w:sz w:val="20"/>
            <w:szCs w:val="20"/>
            <w:u w:val="single"/>
          </w:rPr>
          <w:t>https://doi.org/10.1155/2018/1695782</w:t>
        </w:r>
      </w:hyperlink>
      <w:r w:rsidRPr="00C10BBC">
        <w:rPr>
          <w:rFonts w:ascii="Calibri" w:eastAsia="Times New Roman" w:hAnsi="Calibri" w:cstheme="minorHAnsi"/>
          <w:spacing w:val="-2"/>
          <w:sz w:val="20"/>
          <w:szCs w:val="20"/>
        </w:rPr>
        <w:t xml:space="preserve"> </w:t>
      </w:r>
    </w:p>
    <w:p w14:paraId="4057C6D3"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220"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29849817</w:t>
        </w:r>
      </w:hyperlink>
      <w:r w:rsidRPr="00C10BBC">
        <w:rPr>
          <w:rFonts w:ascii="Calibri" w:eastAsia="Times New Roman" w:hAnsi="Calibri" w:cstheme="minorHAnsi"/>
          <w:spacing w:val="-2"/>
          <w:sz w:val="20"/>
          <w:szCs w:val="20"/>
        </w:rPr>
        <w:t xml:space="preserve"> </w:t>
      </w:r>
    </w:p>
    <w:p w14:paraId="02736E5D"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108.</w:t>
      </w:r>
      <w:r w:rsidRPr="00C10BBC">
        <w:rPr>
          <w:rFonts w:ascii="Calibri" w:eastAsia="Times New Roman" w:hAnsi="Calibri" w:cstheme="minorHAnsi"/>
          <w:spacing w:val="-2"/>
          <w:sz w:val="20"/>
          <w:szCs w:val="20"/>
        </w:rPr>
        <w:tab/>
      </w:r>
      <w:bookmarkStart w:id="219" w:name="b108"/>
      <w:bookmarkStart w:id="220" w:name="idm1160559328"/>
      <w:bookmarkEnd w:id="219"/>
      <w:bookmarkEnd w:id="220"/>
      <w:r w:rsidRPr="00C10BBC">
        <w:rPr>
          <w:rFonts w:ascii="Calibri" w:eastAsia="Times New Roman" w:hAnsi="Calibri" w:cstheme="minorHAnsi"/>
          <w:spacing w:val="-2"/>
          <w:sz w:val="20"/>
          <w:szCs w:val="20"/>
        </w:rPr>
        <w:t xml:space="preserve">Wolff B, Grabe HJ, Volzke H, Ludemann J, Schwahn C, Freyberger HJ, John U, Lange M, Cascorbi I, Felix SB. A functional serotonin transporter (SLC6A4) polymorphism modifies the association of smoking and diabetes with asymptomatic carotid atherosclerosis. Thromb Haemost. 2005; 93:180-82. </w:t>
      </w:r>
    </w:p>
    <w:p w14:paraId="215D93DE"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221" w:tgtFrame="_blank" w:history="1">
        <w:r w:rsidRPr="00C10BBC">
          <w:rPr>
            <w:rFonts w:ascii="Calibri" w:eastAsia="Times New Roman" w:hAnsi="Calibri" w:cstheme="minorHAnsi"/>
            <w:color w:val="0000FF"/>
            <w:spacing w:val="-2"/>
            <w:sz w:val="20"/>
            <w:szCs w:val="20"/>
            <w:u w:val="single"/>
          </w:rPr>
          <w:t>https://doi.org/10.1055/s-0037-1616164</w:t>
        </w:r>
      </w:hyperlink>
      <w:r w:rsidRPr="00C10BBC">
        <w:rPr>
          <w:rFonts w:ascii="Calibri" w:eastAsia="Times New Roman" w:hAnsi="Calibri" w:cstheme="minorHAnsi"/>
          <w:spacing w:val="-2"/>
          <w:sz w:val="20"/>
          <w:szCs w:val="20"/>
        </w:rPr>
        <w:t xml:space="preserve"> </w:t>
      </w:r>
    </w:p>
    <w:p w14:paraId="1DFE7A54"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222"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15630511</w:t>
        </w:r>
      </w:hyperlink>
      <w:r w:rsidRPr="00C10BBC">
        <w:rPr>
          <w:rFonts w:ascii="Calibri" w:eastAsia="Times New Roman" w:hAnsi="Calibri" w:cstheme="minorHAnsi"/>
          <w:spacing w:val="-2"/>
          <w:sz w:val="20"/>
          <w:szCs w:val="20"/>
        </w:rPr>
        <w:t xml:space="preserve"> </w:t>
      </w:r>
    </w:p>
    <w:p w14:paraId="46A7A85B"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109.</w:t>
      </w:r>
      <w:r w:rsidRPr="00C10BBC">
        <w:rPr>
          <w:rFonts w:ascii="Calibri" w:eastAsia="Times New Roman" w:hAnsi="Calibri" w:cstheme="minorHAnsi"/>
          <w:spacing w:val="-2"/>
          <w:sz w:val="20"/>
          <w:szCs w:val="20"/>
        </w:rPr>
        <w:tab/>
      </w:r>
      <w:bookmarkStart w:id="221" w:name="b109"/>
      <w:bookmarkStart w:id="222" w:name="idm1149970928"/>
      <w:bookmarkEnd w:id="221"/>
      <w:bookmarkEnd w:id="222"/>
      <w:r w:rsidRPr="00C10BBC">
        <w:rPr>
          <w:rFonts w:ascii="Calibri" w:eastAsia="Times New Roman" w:hAnsi="Calibri" w:cstheme="minorHAnsi"/>
          <w:spacing w:val="-2"/>
          <w:sz w:val="20"/>
          <w:szCs w:val="20"/>
        </w:rPr>
        <w:t xml:space="preserve">Zhao Y, Howatt DA, Gizard F, Nomiyama T, Findeisen HM, Heywood EB, Jones KL, Conneely OM, Daugherty A, Bruemmer D. Deficiency of the NR4A orphan nuclear receptor NOR1 decreases monocyte adhesion and atherosclerosis. Circ Res. 2010; 107:501-11. </w:t>
      </w:r>
    </w:p>
    <w:p w14:paraId="28F27B9C"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223" w:tgtFrame="_blank" w:history="1">
        <w:r w:rsidRPr="00C10BBC">
          <w:rPr>
            <w:rFonts w:ascii="Calibri" w:eastAsia="Times New Roman" w:hAnsi="Calibri" w:cstheme="minorHAnsi"/>
            <w:color w:val="0000FF"/>
            <w:spacing w:val="-2"/>
            <w:sz w:val="20"/>
            <w:szCs w:val="20"/>
            <w:u w:val="single"/>
          </w:rPr>
          <w:t>https://doi.org/10.1161/CIRCRESAHA.110.222083</w:t>
        </w:r>
      </w:hyperlink>
      <w:r w:rsidRPr="00C10BBC">
        <w:rPr>
          <w:rFonts w:ascii="Calibri" w:eastAsia="Times New Roman" w:hAnsi="Calibri" w:cstheme="minorHAnsi"/>
          <w:spacing w:val="-2"/>
          <w:sz w:val="20"/>
          <w:szCs w:val="20"/>
        </w:rPr>
        <w:t xml:space="preserve"> </w:t>
      </w:r>
    </w:p>
    <w:p w14:paraId="797CCD42"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224"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20558821</w:t>
        </w:r>
      </w:hyperlink>
      <w:r w:rsidRPr="00C10BBC">
        <w:rPr>
          <w:rFonts w:ascii="Calibri" w:eastAsia="Times New Roman" w:hAnsi="Calibri" w:cstheme="minorHAnsi"/>
          <w:spacing w:val="-2"/>
          <w:sz w:val="20"/>
          <w:szCs w:val="20"/>
        </w:rPr>
        <w:t xml:space="preserve"> </w:t>
      </w:r>
    </w:p>
    <w:p w14:paraId="43DB6905"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110.</w:t>
      </w:r>
      <w:r w:rsidRPr="00C10BBC">
        <w:rPr>
          <w:rFonts w:ascii="Calibri" w:eastAsia="Times New Roman" w:hAnsi="Calibri" w:cstheme="minorHAnsi"/>
          <w:spacing w:val="-2"/>
          <w:sz w:val="20"/>
          <w:szCs w:val="20"/>
        </w:rPr>
        <w:tab/>
      </w:r>
      <w:bookmarkStart w:id="223" w:name="b110"/>
      <w:bookmarkStart w:id="224" w:name="idm1170748848"/>
      <w:bookmarkEnd w:id="223"/>
      <w:bookmarkEnd w:id="224"/>
      <w:r w:rsidRPr="00C10BBC">
        <w:rPr>
          <w:rFonts w:ascii="Calibri" w:eastAsia="Times New Roman" w:hAnsi="Calibri" w:cstheme="minorHAnsi"/>
          <w:spacing w:val="-2"/>
          <w:sz w:val="20"/>
          <w:szCs w:val="20"/>
        </w:rPr>
        <w:t xml:space="preserve">Lim JY, Liu C, Hu KQ, Smith DE, Wu D, Lamon-Fava S, Ausman LM, Wang XD. Dietary ?-Cryptoxanthin Inhibits High-Refined Carbohydrate Diet-Induced Fatty Liver via Differential Protective Mechanisms Depending on Carotenoid Cleavage Enzymes in Male Mice. J Nutr. 2019; 149:1553-64. </w:t>
      </w:r>
    </w:p>
    <w:p w14:paraId="5358AB06"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225" w:tgtFrame="_blank" w:history="1">
        <w:r w:rsidRPr="00C10BBC">
          <w:rPr>
            <w:rFonts w:ascii="Calibri" w:eastAsia="Times New Roman" w:hAnsi="Calibri" w:cstheme="minorHAnsi"/>
            <w:color w:val="0000FF"/>
            <w:spacing w:val="-2"/>
            <w:sz w:val="20"/>
            <w:szCs w:val="20"/>
            <w:u w:val="single"/>
          </w:rPr>
          <w:t>https://doi.org/10.1093/jn/nxz106</w:t>
        </w:r>
      </w:hyperlink>
      <w:r w:rsidRPr="00C10BBC">
        <w:rPr>
          <w:rFonts w:ascii="Calibri" w:eastAsia="Times New Roman" w:hAnsi="Calibri" w:cstheme="minorHAnsi"/>
          <w:spacing w:val="-2"/>
          <w:sz w:val="20"/>
          <w:szCs w:val="20"/>
        </w:rPr>
        <w:t xml:space="preserve"> </w:t>
      </w:r>
    </w:p>
    <w:p w14:paraId="0BA5E697"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226"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31212314</w:t>
        </w:r>
      </w:hyperlink>
      <w:r w:rsidRPr="00C10BBC">
        <w:rPr>
          <w:rFonts w:ascii="Calibri" w:eastAsia="Times New Roman" w:hAnsi="Calibri" w:cstheme="minorHAnsi"/>
          <w:spacing w:val="-2"/>
          <w:sz w:val="20"/>
          <w:szCs w:val="20"/>
        </w:rPr>
        <w:t xml:space="preserve"> </w:t>
      </w:r>
    </w:p>
    <w:p w14:paraId="768BE76C"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111.</w:t>
      </w:r>
      <w:r w:rsidRPr="00C10BBC">
        <w:rPr>
          <w:rFonts w:ascii="Calibri" w:eastAsia="Times New Roman" w:hAnsi="Calibri" w:cstheme="minorHAnsi"/>
          <w:spacing w:val="-2"/>
          <w:sz w:val="20"/>
          <w:szCs w:val="20"/>
        </w:rPr>
        <w:tab/>
      </w:r>
      <w:bookmarkStart w:id="225" w:name="b111"/>
      <w:bookmarkStart w:id="226" w:name="idm1157001072"/>
      <w:bookmarkEnd w:id="225"/>
      <w:bookmarkEnd w:id="226"/>
      <w:r w:rsidRPr="00C10BBC">
        <w:rPr>
          <w:rFonts w:ascii="Calibri" w:eastAsia="Times New Roman" w:hAnsi="Calibri" w:cstheme="minorHAnsi"/>
          <w:spacing w:val="-2"/>
          <w:sz w:val="20"/>
          <w:szCs w:val="20"/>
        </w:rPr>
        <w:t xml:space="preserve">Finney AC, Funk SD, Green JM, Yurdagul A Jr, Rana MA, Pistorius R, Henry M, Yurochko A, Pattillo CB, Traylor JG, Chen J, Woolard MD, Kevil CG, Orr AW. EphA2 Expression Regulates Inflammation and Fibroproliferative Remodeling in Atherosclerosis. Circulation. 2017; 136:566-82. </w:t>
      </w:r>
    </w:p>
    <w:p w14:paraId="703A1FC1"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227" w:tgtFrame="_blank" w:history="1">
        <w:r w:rsidRPr="00C10BBC">
          <w:rPr>
            <w:rFonts w:ascii="Calibri" w:eastAsia="Times New Roman" w:hAnsi="Calibri" w:cstheme="minorHAnsi"/>
            <w:color w:val="0000FF"/>
            <w:spacing w:val="-2"/>
            <w:sz w:val="20"/>
            <w:szCs w:val="20"/>
            <w:u w:val="single"/>
          </w:rPr>
          <w:t>https://doi.org/10.1161/CIRCULATIONAHA.116.026644</w:t>
        </w:r>
      </w:hyperlink>
      <w:r w:rsidRPr="00C10BBC">
        <w:rPr>
          <w:rFonts w:ascii="Calibri" w:eastAsia="Times New Roman" w:hAnsi="Calibri" w:cstheme="minorHAnsi"/>
          <w:spacing w:val="-2"/>
          <w:sz w:val="20"/>
          <w:szCs w:val="20"/>
        </w:rPr>
        <w:t xml:space="preserve"> </w:t>
      </w:r>
    </w:p>
    <w:p w14:paraId="00E1232E"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228"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28487392</w:t>
        </w:r>
      </w:hyperlink>
      <w:r w:rsidRPr="00C10BBC">
        <w:rPr>
          <w:rFonts w:ascii="Calibri" w:eastAsia="Times New Roman" w:hAnsi="Calibri" w:cstheme="minorHAnsi"/>
          <w:spacing w:val="-2"/>
          <w:sz w:val="20"/>
          <w:szCs w:val="20"/>
        </w:rPr>
        <w:t xml:space="preserve"> </w:t>
      </w:r>
    </w:p>
    <w:p w14:paraId="580F5D1F"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112.</w:t>
      </w:r>
      <w:r w:rsidRPr="00C10BBC">
        <w:rPr>
          <w:rFonts w:ascii="Calibri" w:eastAsia="Times New Roman" w:hAnsi="Calibri" w:cstheme="minorHAnsi"/>
          <w:spacing w:val="-2"/>
          <w:sz w:val="20"/>
          <w:szCs w:val="20"/>
        </w:rPr>
        <w:tab/>
      </w:r>
      <w:bookmarkStart w:id="227" w:name="b112"/>
      <w:bookmarkStart w:id="228" w:name="idm437377536"/>
      <w:bookmarkEnd w:id="227"/>
      <w:bookmarkEnd w:id="228"/>
      <w:r w:rsidRPr="00C10BBC">
        <w:rPr>
          <w:rFonts w:ascii="Calibri" w:eastAsia="Times New Roman" w:hAnsi="Calibri" w:cstheme="minorHAnsi"/>
          <w:spacing w:val="-2"/>
          <w:sz w:val="20"/>
          <w:szCs w:val="20"/>
        </w:rPr>
        <w:t xml:space="preserve">Pott J, Burkhardt R, Beutner F, Horn K, Teren A, Kirsten H, Holdt LM, Schuler G, Teupser D, Loeffler M, Thiery J, Scholz M. Genome-wide meta-analysis identifies novel loci of plaque burden in carotid artery. Atherosclerosis. 2017; 259:32-40. </w:t>
      </w:r>
    </w:p>
    <w:p w14:paraId="60745E0E"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229" w:tgtFrame="_blank" w:history="1">
        <w:r w:rsidRPr="00C10BBC">
          <w:rPr>
            <w:rFonts w:ascii="Calibri" w:eastAsia="Times New Roman" w:hAnsi="Calibri" w:cstheme="minorHAnsi"/>
            <w:color w:val="0000FF"/>
            <w:spacing w:val="-2"/>
            <w:sz w:val="20"/>
            <w:szCs w:val="20"/>
            <w:u w:val="single"/>
          </w:rPr>
          <w:t>https://doi.org/10.1016/j.atherosclerosis.2017.02.018</w:t>
        </w:r>
      </w:hyperlink>
      <w:r w:rsidRPr="00C10BBC">
        <w:rPr>
          <w:rFonts w:ascii="Calibri" w:eastAsia="Times New Roman" w:hAnsi="Calibri" w:cstheme="minorHAnsi"/>
          <w:spacing w:val="-2"/>
          <w:sz w:val="20"/>
          <w:szCs w:val="20"/>
        </w:rPr>
        <w:t xml:space="preserve"> </w:t>
      </w:r>
    </w:p>
    <w:p w14:paraId="6B4924B0"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230"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28282560</w:t>
        </w:r>
      </w:hyperlink>
      <w:r w:rsidRPr="00C10BBC">
        <w:rPr>
          <w:rFonts w:ascii="Calibri" w:eastAsia="Times New Roman" w:hAnsi="Calibri" w:cstheme="minorHAnsi"/>
          <w:spacing w:val="-2"/>
          <w:sz w:val="20"/>
          <w:szCs w:val="20"/>
        </w:rPr>
        <w:t xml:space="preserve"> </w:t>
      </w:r>
    </w:p>
    <w:p w14:paraId="70115976"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113.</w:t>
      </w:r>
      <w:r w:rsidRPr="00C10BBC">
        <w:rPr>
          <w:rFonts w:ascii="Calibri" w:eastAsia="Times New Roman" w:hAnsi="Calibri" w:cstheme="minorHAnsi"/>
          <w:spacing w:val="-2"/>
          <w:sz w:val="20"/>
          <w:szCs w:val="20"/>
        </w:rPr>
        <w:tab/>
      </w:r>
      <w:bookmarkStart w:id="229" w:name="b113"/>
      <w:bookmarkStart w:id="230" w:name="idm1142499776"/>
      <w:bookmarkEnd w:id="229"/>
      <w:bookmarkEnd w:id="230"/>
      <w:r w:rsidRPr="00C10BBC">
        <w:rPr>
          <w:rFonts w:ascii="Calibri" w:eastAsia="Times New Roman" w:hAnsi="Calibri" w:cstheme="minorHAnsi"/>
          <w:spacing w:val="-2"/>
          <w:sz w:val="20"/>
          <w:szCs w:val="20"/>
        </w:rPr>
        <w:t xml:space="preserve">Hanna RN, Shaked I, Hubbeling HG, Punt JA, Wu R, Herrley E, Zaugg C, Pei H, Geissmann F, Ley K, Hedrick CC. NR4A1 (Nur77) deletion polarizes macrophages toward an inflammatory phenotype and increases atherosclerosis. Circ Res. 2012; 110:416-27. </w:t>
      </w:r>
    </w:p>
    <w:p w14:paraId="64A208DD"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231" w:tgtFrame="_blank" w:history="1">
        <w:r w:rsidRPr="00C10BBC">
          <w:rPr>
            <w:rFonts w:ascii="Calibri" w:eastAsia="Times New Roman" w:hAnsi="Calibri" w:cstheme="minorHAnsi"/>
            <w:color w:val="0000FF"/>
            <w:spacing w:val="-2"/>
            <w:sz w:val="20"/>
            <w:szCs w:val="20"/>
            <w:u w:val="single"/>
          </w:rPr>
          <w:t>https://doi.org/10.1161/CIRCRESAHA.111.253377</w:t>
        </w:r>
      </w:hyperlink>
      <w:r w:rsidRPr="00C10BBC">
        <w:rPr>
          <w:rFonts w:ascii="Calibri" w:eastAsia="Times New Roman" w:hAnsi="Calibri" w:cstheme="minorHAnsi"/>
          <w:spacing w:val="-2"/>
          <w:sz w:val="20"/>
          <w:szCs w:val="20"/>
        </w:rPr>
        <w:t xml:space="preserve"> </w:t>
      </w:r>
    </w:p>
    <w:p w14:paraId="373AF003"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232"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22194622</w:t>
        </w:r>
      </w:hyperlink>
      <w:r w:rsidRPr="00C10BBC">
        <w:rPr>
          <w:rFonts w:ascii="Calibri" w:eastAsia="Times New Roman" w:hAnsi="Calibri" w:cstheme="minorHAnsi"/>
          <w:spacing w:val="-2"/>
          <w:sz w:val="20"/>
          <w:szCs w:val="20"/>
        </w:rPr>
        <w:t xml:space="preserve"> </w:t>
      </w:r>
    </w:p>
    <w:p w14:paraId="6B1661E1"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114.</w:t>
      </w:r>
      <w:r w:rsidRPr="00C10BBC">
        <w:rPr>
          <w:rFonts w:ascii="Calibri" w:eastAsia="Times New Roman" w:hAnsi="Calibri" w:cstheme="minorHAnsi"/>
          <w:spacing w:val="-2"/>
          <w:sz w:val="20"/>
          <w:szCs w:val="20"/>
        </w:rPr>
        <w:tab/>
      </w:r>
      <w:bookmarkStart w:id="231" w:name="b114"/>
      <w:bookmarkStart w:id="232" w:name="idm1171482432"/>
      <w:bookmarkEnd w:id="231"/>
      <w:bookmarkEnd w:id="232"/>
      <w:r w:rsidRPr="00C10BBC">
        <w:rPr>
          <w:rFonts w:ascii="Calibri" w:eastAsia="Times New Roman" w:hAnsi="Calibri" w:cstheme="minorHAnsi"/>
          <w:spacing w:val="-2"/>
          <w:sz w:val="20"/>
          <w:szCs w:val="20"/>
        </w:rPr>
        <w:t xml:space="preserve">Matsubara M, Hasegawa K. Benidipine, a dihydropyridine-calcium channel blocker, prevents lysophosphatidylcholine-induced injury and reactive oxygen species production in human aortic endothelial cells. Atherosclerosis. 2005; 178:57-66. </w:t>
      </w:r>
    </w:p>
    <w:p w14:paraId="54B5D6D2"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233" w:tgtFrame="_blank" w:history="1">
        <w:r w:rsidRPr="00C10BBC">
          <w:rPr>
            <w:rFonts w:ascii="Calibri" w:eastAsia="Times New Roman" w:hAnsi="Calibri" w:cstheme="minorHAnsi"/>
            <w:color w:val="0000FF"/>
            <w:spacing w:val="-2"/>
            <w:sz w:val="20"/>
            <w:szCs w:val="20"/>
            <w:u w:val="single"/>
          </w:rPr>
          <w:t>https://doi.org/10.1016/j.atherosclerosis.2004.08.020</w:t>
        </w:r>
      </w:hyperlink>
      <w:r w:rsidRPr="00C10BBC">
        <w:rPr>
          <w:rFonts w:ascii="Calibri" w:eastAsia="Times New Roman" w:hAnsi="Calibri" w:cstheme="minorHAnsi"/>
          <w:spacing w:val="-2"/>
          <w:sz w:val="20"/>
          <w:szCs w:val="20"/>
        </w:rPr>
        <w:t xml:space="preserve"> </w:t>
      </w:r>
    </w:p>
    <w:p w14:paraId="5EFF0749"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234"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15585201</w:t>
        </w:r>
      </w:hyperlink>
      <w:r w:rsidRPr="00C10BBC">
        <w:rPr>
          <w:rFonts w:ascii="Calibri" w:eastAsia="Times New Roman" w:hAnsi="Calibri" w:cstheme="minorHAnsi"/>
          <w:spacing w:val="-2"/>
          <w:sz w:val="20"/>
          <w:szCs w:val="20"/>
        </w:rPr>
        <w:t xml:space="preserve"> </w:t>
      </w:r>
    </w:p>
    <w:p w14:paraId="78C762EB"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115.</w:t>
      </w:r>
      <w:r w:rsidRPr="00C10BBC">
        <w:rPr>
          <w:rFonts w:ascii="Calibri" w:eastAsia="Times New Roman" w:hAnsi="Calibri" w:cstheme="minorHAnsi"/>
          <w:spacing w:val="-2"/>
          <w:sz w:val="20"/>
          <w:szCs w:val="20"/>
        </w:rPr>
        <w:tab/>
      </w:r>
      <w:bookmarkStart w:id="233" w:name="b115"/>
      <w:bookmarkStart w:id="234" w:name="idm1145328736"/>
      <w:bookmarkEnd w:id="233"/>
      <w:bookmarkEnd w:id="234"/>
      <w:r w:rsidRPr="00C10BBC">
        <w:rPr>
          <w:rFonts w:ascii="Calibri" w:eastAsia="Times New Roman" w:hAnsi="Calibri" w:cstheme="minorHAnsi"/>
          <w:spacing w:val="-2"/>
          <w:sz w:val="20"/>
          <w:szCs w:val="20"/>
        </w:rPr>
        <w:t xml:space="preserve">Wang KY, Tanimoto A, Guo X, Yamada S, Shimajiri S, Murata Y, Ding Y, Tsutsui M, Kato S, Watanabe T, Ohtsu H, Hirano K, Kohno K, Sasaguri Y. Histamine deficiency decreases atherosclerosis and inflammatory response in apolipoprotein E knockout mice independently of serum cholesterol level. Arterioscler Thromb Vasc Biol. 2011; 31:800-07. </w:t>
      </w:r>
    </w:p>
    <w:p w14:paraId="142AC4B0"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235" w:tgtFrame="_blank" w:history="1">
        <w:r w:rsidRPr="00C10BBC">
          <w:rPr>
            <w:rFonts w:ascii="Calibri" w:eastAsia="Times New Roman" w:hAnsi="Calibri" w:cstheme="minorHAnsi"/>
            <w:color w:val="0000FF"/>
            <w:spacing w:val="-2"/>
            <w:sz w:val="20"/>
            <w:szCs w:val="20"/>
            <w:u w:val="single"/>
          </w:rPr>
          <w:t>https://doi.org/10.1161/ATVBAHA.110.215228</w:t>
        </w:r>
      </w:hyperlink>
      <w:r w:rsidRPr="00C10BBC">
        <w:rPr>
          <w:rFonts w:ascii="Calibri" w:eastAsia="Times New Roman" w:hAnsi="Calibri" w:cstheme="minorHAnsi"/>
          <w:spacing w:val="-2"/>
          <w:sz w:val="20"/>
          <w:szCs w:val="20"/>
        </w:rPr>
        <w:t xml:space="preserve"> </w:t>
      </w:r>
    </w:p>
    <w:p w14:paraId="47C85C65"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236"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21273563</w:t>
        </w:r>
      </w:hyperlink>
      <w:r w:rsidRPr="00C10BBC">
        <w:rPr>
          <w:rFonts w:ascii="Calibri" w:eastAsia="Times New Roman" w:hAnsi="Calibri" w:cstheme="minorHAnsi"/>
          <w:spacing w:val="-2"/>
          <w:sz w:val="20"/>
          <w:szCs w:val="20"/>
        </w:rPr>
        <w:t xml:space="preserve"> </w:t>
      </w:r>
    </w:p>
    <w:p w14:paraId="6C8D5AF7"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116.</w:t>
      </w:r>
      <w:r w:rsidRPr="00C10BBC">
        <w:rPr>
          <w:rFonts w:ascii="Calibri" w:eastAsia="Times New Roman" w:hAnsi="Calibri" w:cstheme="minorHAnsi"/>
          <w:spacing w:val="-2"/>
          <w:sz w:val="20"/>
          <w:szCs w:val="20"/>
        </w:rPr>
        <w:tab/>
      </w:r>
      <w:bookmarkStart w:id="235" w:name="b116"/>
      <w:bookmarkStart w:id="236" w:name="idm1139403632"/>
      <w:bookmarkEnd w:id="235"/>
      <w:bookmarkEnd w:id="236"/>
      <w:r w:rsidRPr="00C10BBC">
        <w:rPr>
          <w:rFonts w:ascii="Calibri" w:eastAsia="Times New Roman" w:hAnsi="Calibri" w:cstheme="minorHAnsi"/>
          <w:spacing w:val="-2"/>
          <w:sz w:val="20"/>
          <w:szCs w:val="20"/>
        </w:rPr>
        <w:t xml:space="preserve">Xu L, Hao H, Hao Y, Wei G, Li G, Ma P, Xu L, Ding N, Ma S, Chen AF, Jiang Y. Aberrant MFN2 transcription facilitates homocysteine-induced VSMCs proliferation via the increased binding of c-Myc to DNMT1 in atherosclerosis. J Cell Mol Med. 2019; 23:4611-26. </w:t>
      </w:r>
    </w:p>
    <w:p w14:paraId="05E7B27D"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237" w:tgtFrame="_blank" w:history="1">
        <w:r w:rsidRPr="00C10BBC">
          <w:rPr>
            <w:rFonts w:ascii="Calibri" w:eastAsia="Times New Roman" w:hAnsi="Calibri" w:cstheme="minorHAnsi"/>
            <w:color w:val="0000FF"/>
            <w:spacing w:val="-2"/>
            <w:sz w:val="20"/>
            <w:szCs w:val="20"/>
            <w:u w:val="single"/>
          </w:rPr>
          <w:t>https://doi.org/10.1111/jcmm.14341</w:t>
        </w:r>
      </w:hyperlink>
      <w:r w:rsidRPr="00C10BBC">
        <w:rPr>
          <w:rFonts w:ascii="Calibri" w:eastAsia="Times New Roman" w:hAnsi="Calibri" w:cstheme="minorHAnsi"/>
          <w:spacing w:val="-2"/>
          <w:sz w:val="20"/>
          <w:szCs w:val="20"/>
        </w:rPr>
        <w:t xml:space="preserve"> </w:t>
      </w:r>
    </w:p>
    <w:p w14:paraId="24B72986"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238"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31104361</w:t>
        </w:r>
      </w:hyperlink>
      <w:r w:rsidRPr="00C10BBC">
        <w:rPr>
          <w:rFonts w:ascii="Calibri" w:eastAsia="Times New Roman" w:hAnsi="Calibri" w:cstheme="minorHAnsi"/>
          <w:spacing w:val="-2"/>
          <w:sz w:val="20"/>
          <w:szCs w:val="20"/>
        </w:rPr>
        <w:t xml:space="preserve"> </w:t>
      </w:r>
    </w:p>
    <w:p w14:paraId="21C0B16E"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117.</w:t>
      </w:r>
      <w:r w:rsidRPr="00C10BBC">
        <w:rPr>
          <w:rFonts w:ascii="Calibri" w:eastAsia="Times New Roman" w:hAnsi="Calibri" w:cstheme="minorHAnsi"/>
          <w:spacing w:val="-2"/>
          <w:sz w:val="20"/>
          <w:szCs w:val="20"/>
        </w:rPr>
        <w:tab/>
      </w:r>
      <w:bookmarkStart w:id="237" w:name="b117"/>
      <w:bookmarkStart w:id="238" w:name="idm436227840"/>
      <w:bookmarkEnd w:id="237"/>
      <w:bookmarkEnd w:id="238"/>
      <w:r w:rsidRPr="00C10BBC">
        <w:rPr>
          <w:rFonts w:ascii="Calibri" w:eastAsia="Times New Roman" w:hAnsi="Calibri" w:cstheme="minorHAnsi"/>
          <w:spacing w:val="-2"/>
          <w:sz w:val="20"/>
          <w:szCs w:val="20"/>
        </w:rPr>
        <w:t xml:space="preserve">Cao Y, Zhou X, Liu H, Zhang Y, Yu X, Liu C. The NF-?B pathway: regulation of the instability of atherosclerotic plaques activated by Fg, Fb, and FDPs. Mol Cell Biochem. 2013; 383:29-37. </w:t>
      </w:r>
    </w:p>
    <w:p w14:paraId="786381D4"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239" w:tgtFrame="_blank" w:history="1">
        <w:r w:rsidRPr="00C10BBC">
          <w:rPr>
            <w:rFonts w:ascii="Calibri" w:eastAsia="Times New Roman" w:hAnsi="Calibri" w:cstheme="minorHAnsi"/>
            <w:color w:val="0000FF"/>
            <w:spacing w:val="-2"/>
            <w:sz w:val="20"/>
            <w:szCs w:val="20"/>
            <w:u w:val="single"/>
          </w:rPr>
          <w:t>https://doi.org/10.1007/s11010-013-1751-2</w:t>
        </w:r>
      </w:hyperlink>
      <w:r w:rsidRPr="00C10BBC">
        <w:rPr>
          <w:rFonts w:ascii="Calibri" w:eastAsia="Times New Roman" w:hAnsi="Calibri" w:cstheme="minorHAnsi"/>
          <w:spacing w:val="-2"/>
          <w:sz w:val="20"/>
          <w:szCs w:val="20"/>
        </w:rPr>
        <w:t xml:space="preserve"> </w:t>
      </w:r>
    </w:p>
    <w:p w14:paraId="1C789D0D"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240"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23839109</w:t>
        </w:r>
      </w:hyperlink>
      <w:r w:rsidRPr="00C10BBC">
        <w:rPr>
          <w:rFonts w:ascii="Calibri" w:eastAsia="Times New Roman" w:hAnsi="Calibri" w:cstheme="minorHAnsi"/>
          <w:spacing w:val="-2"/>
          <w:sz w:val="20"/>
          <w:szCs w:val="20"/>
        </w:rPr>
        <w:t xml:space="preserve"> </w:t>
      </w:r>
    </w:p>
    <w:p w14:paraId="5A2DB8F0"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118.</w:t>
      </w:r>
      <w:r w:rsidRPr="00C10BBC">
        <w:rPr>
          <w:rFonts w:ascii="Calibri" w:eastAsia="Times New Roman" w:hAnsi="Calibri" w:cstheme="minorHAnsi"/>
          <w:spacing w:val="-2"/>
          <w:sz w:val="20"/>
          <w:szCs w:val="20"/>
        </w:rPr>
        <w:tab/>
      </w:r>
      <w:bookmarkStart w:id="239" w:name="b118"/>
      <w:bookmarkStart w:id="240" w:name="idm1168890176"/>
      <w:bookmarkEnd w:id="239"/>
      <w:bookmarkEnd w:id="240"/>
      <w:r w:rsidRPr="00C10BBC">
        <w:rPr>
          <w:rFonts w:ascii="Calibri" w:eastAsia="Times New Roman" w:hAnsi="Calibri" w:cstheme="minorHAnsi"/>
          <w:spacing w:val="-2"/>
          <w:sz w:val="20"/>
          <w:szCs w:val="20"/>
        </w:rPr>
        <w:t xml:space="preserve">Goossens P, Gijbels MJ, Zernecke A, Eijgelaar W, Vergouwe MN, van der Made I, Vanderlocht J, Beckers L, Buurman WA, Daemen MJ, Kalinke U, Weber C, Lutgens E, de Winther MP. Myeloid type I interferon signaling promotes atherosclerosis by stimulating macrophage recruitment to lesions. Cell Metab. 2010; 12:142-53. </w:t>
      </w:r>
    </w:p>
    <w:p w14:paraId="271CB863"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241" w:tgtFrame="_blank" w:history="1">
        <w:r w:rsidRPr="00C10BBC">
          <w:rPr>
            <w:rFonts w:ascii="Calibri" w:eastAsia="Times New Roman" w:hAnsi="Calibri" w:cstheme="minorHAnsi"/>
            <w:color w:val="0000FF"/>
            <w:spacing w:val="-2"/>
            <w:sz w:val="20"/>
            <w:szCs w:val="20"/>
            <w:u w:val="single"/>
          </w:rPr>
          <w:t>https://doi.org/10.1016/j.cmet.2010.06.008</w:t>
        </w:r>
      </w:hyperlink>
      <w:r w:rsidRPr="00C10BBC">
        <w:rPr>
          <w:rFonts w:ascii="Calibri" w:eastAsia="Times New Roman" w:hAnsi="Calibri" w:cstheme="minorHAnsi"/>
          <w:spacing w:val="-2"/>
          <w:sz w:val="20"/>
          <w:szCs w:val="20"/>
        </w:rPr>
        <w:t xml:space="preserve"> </w:t>
      </w:r>
    </w:p>
    <w:p w14:paraId="13DA88B5"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242"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20674859</w:t>
        </w:r>
      </w:hyperlink>
      <w:r w:rsidRPr="00C10BBC">
        <w:rPr>
          <w:rFonts w:ascii="Calibri" w:eastAsia="Times New Roman" w:hAnsi="Calibri" w:cstheme="minorHAnsi"/>
          <w:spacing w:val="-2"/>
          <w:sz w:val="20"/>
          <w:szCs w:val="20"/>
        </w:rPr>
        <w:t xml:space="preserve"> </w:t>
      </w:r>
    </w:p>
    <w:p w14:paraId="41BB39F5" w14:textId="77777777" w:rsidR="00615745" w:rsidRDefault="00615745" w:rsidP="00615745">
      <w:pPr>
        <w:ind w:left="529" w:hangingChars="270" w:hanging="529"/>
        <w:rPr>
          <w:rFonts w:ascii="Calibri" w:eastAsia="Times New Roman" w:hAnsi="Calibri" w:cstheme="minorHAnsi"/>
          <w:spacing w:val="-2"/>
          <w:sz w:val="20"/>
          <w:szCs w:val="20"/>
          <w:u w:val="single"/>
        </w:rPr>
      </w:pPr>
      <w:r w:rsidRPr="00C10BBC">
        <w:rPr>
          <w:rFonts w:ascii="Calibri" w:eastAsia="Times New Roman" w:hAnsi="Calibri" w:cstheme="minorHAnsi"/>
          <w:spacing w:val="-2"/>
          <w:sz w:val="20"/>
          <w:szCs w:val="20"/>
        </w:rPr>
        <w:t>119.</w:t>
      </w:r>
      <w:r w:rsidRPr="00C10BBC">
        <w:rPr>
          <w:rFonts w:ascii="Calibri" w:eastAsia="Times New Roman" w:hAnsi="Calibri" w:cstheme="minorHAnsi"/>
          <w:spacing w:val="-2"/>
          <w:sz w:val="20"/>
          <w:szCs w:val="20"/>
        </w:rPr>
        <w:tab/>
      </w:r>
      <w:bookmarkStart w:id="241" w:name="b119"/>
      <w:bookmarkStart w:id="242" w:name="idm1007090368"/>
      <w:bookmarkEnd w:id="241"/>
      <w:bookmarkEnd w:id="242"/>
      <w:r w:rsidRPr="00C10BBC">
        <w:rPr>
          <w:rFonts w:ascii="Calibri" w:eastAsia="Times New Roman" w:hAnsi="Calibri" w:cstheme="minorHAnsi"/>
          <w:spacing w:val="-2"/>
          <w:sz w:val="20"/>
          <w:szCs w:val="20"/>
        </w:rPr>
        <w:t>Chapoval SP, Vadasz Z, Chapoval AI, Toubi E. Semaphorins 4A and 4D in chronic inflammatory diseases. Inflamm Res. 2017; 66:111-117.</w:t>
      </w:r>
    </w:p>
    <w:p w14:paraId="46AB3A4E" w14:textId="77777777" w:rsidR="00615745" w:rsidRPr="00C10BBC" w:rsidRDefault="00615745" w:rsidP="00615745">
      <w:pPr>
        <w:ind w:left="535"/>
        <w:rPr>
          <w:rFonts w:ascii="Calibri" w:eastAsia="Times New Roman" w:hAnsi="Calibri" w:cstheme="minorHAnsi"/>
          <w:spacing w:val="-2"/>
          <w:sz w:val="20"/>
          <w:szCs w:val="20"/>
        </w:rPr>
      </w:pPr>
      <w:hyperlink r:id="rId243" w:history="1">
        <w:r w:rsidRPr="00F6140E">
          <w:rPr>
            <w:rStyle w:val="Hyperlink"/>
            <w:rFonts w:ascii="Calibri" w:eastAsia="Times New Roman" w:hAnsi="Calibri" w:cstheme="minorHAnsi"/>
            <w:spacing w:val="-2"/>
            <w:sz w:val="20"/>
            <w:szCs w:val="20"/>
          </w:rPr>
          <w:t>https://doi.org/10.1007/s00011-016-0983-5</w:t>
        </w:r>
      </w:hyperlink>
      <w:r w:rsidRPr="00C10BBC">
        <w:rPr>
          <w:rFonts w:ascii="Calibri" w:eastAsia="Times New Roman" w:hAnsi="Calibri" w:cstheme="minorHAnsi"/>
          <w:spacing w:val="-2"/>
          <w:sz w:val="20"/>
          <w:szCs w:val="20"/>
        </w:rPr>
        <w:t xml:space="preserve"> PMID:</w:t>
      </w:r>
      <w:hyperlink r:id="rId244" w:history="1">
        <w:r w:rsidRPr="00AC4B1F">
          <w:rPr>
            <w:rStyle w:val="Hyperlink"/>
            <w:rFonts w:ascii="Calibri" w:eastAsia="Times New Roman" w:hAnsi="Calibri" w:cstheme="minorHAnsi"/>
            <w:spacing w:val="-2"/>
            <w:sz w:val="20"/>
            <w:szCs w:val="20"/>
          </w:rPr>
          <w:t>27554682</w:t>
        </w:r>
      </w:hyperlink>
    </w:p>
    <w:p w14:paraId="31E8950F"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120.</w:t>
      </w:r>
      <w:r w:rsidRPr="00C10BBC">
        <w:rPr>
          <w:rFonts w:ascii="Calibri" w:eastAsia="Times New Roman" w:hAnsi="Calibri" w:cstheme="minorHAnsi"/>
          <w:spacing w:val="-2"/>
          <w:sz w:val="20"/>
          <w:szCs w:val="20"/>
        </w:rPr>
        <w:tab/>
      </w:r>
      <w:bookmarkStart w:id="243" w:name="b120"/>
      <w:bookmarkStart w:id="244" w:name="idm1007081104"/>
      <w:bookmarkEnd w:id="243"/>
      <w:bookmarkEnd w:id="244"/>
      <w:r w:rsidRPr="00C10BBC">
        <w:rPr>
          <w:rFonts w:ascii="Calibri" w:eastAsia="Times New Roman" w:hAnsi="Calibri" w:cstheme="minorHAnsi"/>
          <w:spacing w:val="-2"/>
          <w:sz w:val="20"/>
          <w:szCs w:val="20"/>
        </w:rPr>
        <w:t xml:space="preserve">Ryu H, Lim H, Choi G, Park YJ, Cho M, Na H, Ahn CW, Kim YC, Kim WU, Lee SH, Chung Y. Atherogenic dyslipidemia promotes autoimmune follicular helper T cell responses via IL-27. Nat Immunol. 2018; 19:583-93. </w:t>
      </w:r>
    </w:p>
    <w:p w14:paraId="42AB284E"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245" w:tgtFrame="_blank" w:history="1">
        <w:r w:rsidRPr="00C10BBC">
          <w:rPr>
            <w:rFonts w:ascii="Calibri" w:eastAsia="Times New Roman" w:hAnsi="Calibri" w:cstheme="minorHAnsi"/>
            <w:color w:val="0000FF"/>
            <w:spacing w:val="-2"/>
            <w:sz w:val="20"/>
            <w:szCs w:val="20"/>
            <w:u w:val="single"/>
          </w:rPr>
          <w:t>https://doi.org/10.1038/s41590-018-0102-6</w:t>
        </w:r>
      </w:hyperlink>
      <w:r w:rsidRPr="00C10BBC">
        <w:rPr>
          <w:rFonts w:ascii="Calibri" w:eastAsia="Times New Roman" w:hAnsi="Calibri" w:cstheme="minorHAnsi"/>
          <w:spacing w:val="-2"/>
          <w:sz w:val="20"/>
          <w:szCs w:val="20"/>
        </w:rPr>
        <w:t xml:space="preserve"> </w:t>
      </w:r>
    </w:p>
    <w:p w14:paraId="3B361998"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246"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29713015</w:t>
        </w:r>
      </w:hyperlink>
    </w:p>
    <w:p w14:paraId="2580AD38"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121.</w:t>
      </w:r>
      <w:r w:rsidRPr="00C10BBC">
        <w:rPr>
          <w:rFonts w:ascii="Calibri" w:eastAsia="Times New Roman" w:hAnsi="Calibri" w:cstheme="minorHAnsi"/>
          <w:spacing w:val="-2"/>
          <w:sz w:val="20"/>
          <w:szCs w:val="20"/>
        </w:rPr>
        <w:tab/>
      </w:r>
      <w:bookmarkStart w:id="245" w:name="b121"/>
      <w:bookmarkStart w:id="246" w:name="idm1149681840"/>
      <w:bookmarkEnd w:id="245"/>
      <w:bookmarkEnd w:id="246"/>
      <w:r w:rsidRPr="00C10BBC">
        <w:rPr>
          <w:rFonts w:ascii="Calibri" w:eastAsia="Times New Roman" w:hAnsi="Calibri" w:cstheme="minorHAnsi"/>
          <w:spacing w:val="-2"/>
          <w:sz w:val="20"/>
          <w:szCs w:val="20"/>
        </w:rPr>
        <w:t xml:space="preserve">Correction to. Correction to: Macrophage-Associated Lipin-1 Enzymatic Activity Contributes to Modified Low-Density Lipoprotein-Induced Proinflammatory Signaling and Atherosclerosis. Arterioscler Thromb Vasc Biol. 2018; 38:e89. </w:t>
      </w:r>
    </w:p>
    <w:p w14:paraId="5481FE61"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247" w:tgtFrame="_blank" w:history="1">
        <w:r w:rsidRPr="00C10BBC">
          <w:rPr>
            <w:rFonts w:ascii="Calibri" w:eastAsia="Times New Roman" w:hAnsi="Calibri" w:cstheme="minorHAnsi"/>
            <w:color w:val="0000FF"/>
            <w:spacing w:val="-2"/>
            <w:sz w:val="20"/>
            <w:szCs w:val="20"/>
            <w:u w:val="single"/>
          </w:rPr>
          <w:t>https://doi.org/10.1161/ATV.0000000000000070</w:t>
        </w:r>
      </w:hyperlink>
      <w:r w:rsidRPr="00C10BBC">
        <w:rPr>
          <w:rFonts w:ascii="Calibri" w:eastAsia="Times New Roman" w:hAnsi="Calibri" w:cstheme="minorHAnsi"/>
          <w:spacing w:val="-2"/>
          <w:sz w:val="20"/>
          <w:szCs w:val="20"/>
        </w:rPr>
        <w:t xml:space="preserve"> </w:t>
      </w:r>
    </w:p>
    <w:p w14:paraId="1A08C28E"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248"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29695536</w:t>
        </w:r>
      </w:hyperlink>
    </w:p>
    <w:p w14:paraId="5D1C89F7"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122.</w:t>
      </w:r>
      <w:r w:rsidRPr="00C10BBC">
        <w:rPr>
          <w:rFonts w:ascii="Calibri" w:eastAsia="Times New Roman" w:hAnsi="Calibri" w:cstheme="minorHAnsi"/>
          <w:spacing w:val="-2"/>
          <w:sz w:val="20"/>
          <w:szCs w:val="20"/>
        </w:rPr>
        <w:tab/>
      </w:r>
      <w:bookmarkStart w:id="247" w:name="b122"/>
      <w:bookmarkStart w:id="248" w:name="idm1127967568"/>
      <w:bookmarkEnd w:id="247"/>
      <w:bookmarkEnd w:id="248"/>
      <w:r w:rsidRPr="00C10BBC">
        <w:rPr>
          <w:rFonts w:ascii="Calibri" w:eastAsia="Times New Roman" w:hAnsi="Calibri" w:cstheme="minorHAnsi"/>
          <w:spacing w:val="-2"/>
          <w:sz w:val="20"/>
          <w:szCs w:val="20"/>
        </w:rPr>
        <w:t xml:space="preserve">Di Bartolo BA, Chan J, Bennett MR, Cartland S, Bao S, Tuch BE, Kavurma MM. TNF-related apoptosis-inducing ligand (TRAIL) protects against diabetes and atherosclerosis in Apoe ?/? mice. Diabetologia. 2011; 54:3157-67. </w:t>
      </w:r>
    </w:p>
    <w:p w14:paraId="2AE5B467"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249" w:tgtFrame="_blank" w:history="1">
        <w:r w:rsidRPr="00C10BBC">
          <w:rPr>
            <w:rFonts w:ascii="Calibri" w:eastAsia="Times New Roman" w:hAnsi="Calibri" w:cstheme="minorHAnsi"/>
            <w:color w:val="0000FF"/>
            <w:spacing w:val="-2"/>
            <w:sz w:val="20"/>
            <w:szCs w:val="20"/>
            <w:u w:val="single"/>
          </w:rPr>
          <w:t>https://doi.org/10.1007/s00125-011-2308-0</w:t>
        </w:r>
      </w:hyperlink>
      <w:r w:rsidRPr="00C10BBC">
        <w:rPr>
          <w:rFonts w:ascii="Calibri" w:eastAsia="Times New Roman" w:hAnsi="Calibri" w:cstheme="minorHAnsi"/>
          <w:spacing w:val="-2"/>
          <w:sz w:val="20"/>
          <w:szCs w:val="20"/>
        </w:rPr>
        <w:t xml:space="preserve"> </w:t>
      </w:r>
    </w:p>
    <w:p w14:paraId="4946ADEE"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250"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21965021</w:t>
        </w:r>
      </w:hyperlink>
      <w:r w:rsidRPr="00C10BBC">
        <w:rPr>
          <w:rFonts w:ascii="Calibri" w:eastAsia="Times New Roman" w:hAnsi="Calibri" w:cstheme="minorHAnsi"/>
          <w:spacing w:val="-2"/>
          <w:sz w:val="20"/>
          <w:szCs w:val="20"/>
        </w:rPr>
        <w:t xml:space="preserve"> </w:t>
      </w:r>
    </w:p>
    <w:p w14:paraId="378B6D7C"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123.</w:t>
      </w:r>
      <w:r w:rsidRPr="00C10BBC">
        <w:rPr>
          <w:rFonts w:ascii="Calibri" w:eastAsia="Times New Roman" w:hAnsi="Calibri" w:cstheme="minorHAnsi"/>
          <w:spacing w:val="-2"/>
          <w:sz w:val="20"/>
          <w:szCs w:val="20"/>
        </w:rPr>
        <w:tab/>
      </w:r>
      <w:bookmarkStart w:id="249" w:name="b123"/>
      <w:bookmarkStart w:id="250" w:name="idm1152756512"/>
      <w:bookmarkEnd w:id="249"/>
      <w:bookmarkEnd w:id="250"/>
      <w:r w:rsidRPr="00C10BBC">
        <w:rPr>
          <w:rFonts w:ascii="Calibri" w:eastAsia="Times New Roman" w:hAnsi="Calibri" w:cstheme="minorHAnsi"/>
          <w:spacing w:val="-2"/>
          <w:sz w:val="20"/>
          <w:szCs w:val="20"/>
        </w:rPr>
        <w:t xml:space="preserve">Pan X, Pang M, Ma A, Wang K, Zhang Z, Zhong Q, Yang S. Association of TRAIL and Its Receptors with Large-Artery Atherosclerotic Stroke. PLoS One. 2015; 10:e0136414. </w:t>
      </w:r>
    </w:p>
    <w:p w14:paraId="7AF408B5"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251" w:tgtFrame="_blank" w:history="1">
        <w:r w:rsidRPr="00C10BBC">
          <w:rPr>
            <w:rFonts w:ascii="Calibri" w:eastAsia="Times New Roman" w:hAnsi="Calibri" w:cstheme="minorHAnsi"/>
            <w:color w:val="0000FF"/>
            <w:spacing w:val="-2"/>
            <w:sz w:val="20"/>
            <w:szCs w:val="20"/>
            <w:u w:val="single"/>
          </w:rPr>
          <w:t>https://doi.org/10.1371/journal.pone.0136414</w:t>
        </w:r>
      </w:hyperlink>
      <w:r w:rsidRPr="00C10BBC">
        <w:rPr>
          <w:rFonts w:ascii="Calibri" w:eastAsia="Times New Roman" w:hAnsi="Calibri" w:cstheme="minorHAnsi"/>
          <w:spacing w:val="-2"/>
          <w:sz w:val="20"/>
          <w:szCs w:val="20"/>
        </w:rPr>
        <w:t xml:space="preserve"> </w:t>
      </w:r>
    </w:p>
    <w:p w14:paraId="7EFEFFB6"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252"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26334877</w:t>
        </w:r>
      </w:hyperlink>
      <w:r w:rsidRPr="00C10BBC">
        <w:rPr>
          <w:rFonts w:ascii="Calibri" w:eastAsia="Times New Roman" w:hAnsi="Calibri" w:cstheme="minorHAnsi"/>
          <w:spacing w:val="-2"/>
          <w:sz w:val="20"/>
          <w:szCs w:val="20"/>
        </w:rPr>
        <w:t xml:space="preserve"> </w:t>
      </w:r>
    </w:p>
    <w:p w14:paraId="17A4E1FB"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124.</w:t>
      </w:r>
      <w:r w:rsidRPr="00C10BBC">
        <w:rPr>
          <w:rFonts w:ascii="Calibri" w:eastAsia="Times New Roman" w:hAnsi="Calibri" w:cstheme="minorHAnsi"/>
          <w:spacing w:val="-2"/>
          <w:sz w:val="20"/>
          <w:szCs w:val="20"/>
        </w:rPr>
        <w:tab/>
      </w:r>
      <w:bookmarkStart w:id="251" w:name="b124"/>
      <w:bookmarkStart w:id="252" w:name="idm1159995312"/>
      <w:bookmarkEnd w:id="251"/>
      <w:bookmarkEnd w:id="252"/>
      <w:r w:rsidRPr="00C10BBC">
        <w:rPr>
          <w:rFonts w:ascii="Calibri" w:eastAsia="Times New Roman" w:hAnsi="Calibri" w:cstheme="minorHAnsi"/>
          <w:spacing w:val="-2"/>
          <w:sz w:val="20"/>
          <w:szCs w:val="20"/>
        </w:rPr>
        <w:t xml:space="preserve">Qiu G, Hill JS. Endothelial lipase promotes apolipoprotein AI-mediated cholesterol efflux in THP-1 macrophages. Arterioscler Thromb Vasc Biol. 2009; 29:84-91. </w:t>
      </w:r>
    </w:p>
    <w:p w14:paraId="2B7E0D36"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253" w:tgtFrame="_blank" w:history="1">
        <w:r w:rsidRPr="00C10BBC">
          <w:rPr>
            <w:rFonts w:ascii="Calibri" w:eastAsia="Times New Roman" w:hAnsi="Calibri" w:cstheme="minorHAnsi"/>
            <w:color w:val="0000FF"/>
            <w:spacing w:val="-2"/>
            <w:sz w:val="20"/>
            <w:szCs w:val="20"/>
            <w:u w:val="single"/>
          </w:rPr>
          <w:t>https://doi.org/10.1161/ATVBAHA.108.176487</w:t>
        </w:r>
      </w:hyperlink>
      <w:r w:rsidRPr="00C10BBC">
        <w:rPr>
          <w:rFonts w:ascii="Calibri" w:eastAsia="Times New Roman" w:hAnsi="Calibri" w:cstheme="minorHAnsi"/>
          <w:spacing w:val="-2"/>
          <w:sz w:val="20"/>
          <w:szCs w:val="20"/>
        </w:rPr>
        <w:t xml:space="preserve"> </w:t>
      </w:r>
    </w:p>
    <w:p w14:paraId="1DCD9ED8"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254"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18988890</w:t>
        </w:r>
      </w:hyperlink>
      <w:r w:rsidRPr="00C10BBC">
        <w:rPr>
          <w:rFonts w:ascii="Calibri" w:eastAsia="Times New Roman" w:hAnsi="Calibri" w:cstheme="minorHAnsi"/>
          <w:spacing w:val="-2"/>
          <w:sz w:val="20"/>
          <w:szCs w:val="20"/>
        </w:rPr>
        <w:t xml:space="preserve"> </w:t>
      </w:r>
    </w:p>
    <w:p w14:paraId="74539038"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125.</w:t>
      </w:r>
      <w:r w:rsidRPr="00C10BBC">
        <w:rPr>
          <w:rFonts w:ascii="Calibri" w:eastAsia="Times New Roman" w:hAnsi="Calibri" w:cstheme="minorHAnsi"/>
          <w:spacing w:val="-2"/>
          <w:sz w:val="20"/>
          <w:szCs w:val="20"/>
        </w:rPr>
        <w:tab/>
      </w:r>
      <w:bookmarkStart w:id="253" w:name="b125"/>
      <w:bookmarkStart w:id="254" w:name="idm974417056"/>
      <w:bookmarkEnd w:id="253"/>
      <w:bookmarkEnd w:id="254"/>
      <w:r w:rsidRPr="00C10BBC">
        <w:rPr>
          <w:rFonts w:ascii="Calibri" w:eastAsia="Times New Roman" w:hAnsi="Calibri" w:cstheme="minorHAnsi"/>
          <w:spacing w:val="-2"/>
          <w:sz w:val="20"/>
          <w:szCs w:val="20"/>
        </w:rPr>
        <w:t xml:space="preserve">Gonzalez-Cotto M, Guo L, Karwan M, Sen SK, Barb J, Collado CJ, Elloumi F, Palmieri EM, Boelte K, Kolodgie FD, Finn AV, Biesecker LG, McVicar DW. </w:t>
      </w:r>
      <w:r w:rsidRPr="00C10BBC">
        <w:rPr>
          <w:rFonts w:ascii="Calibri" w:eastAsia="Times New Roman" w:hAnsi="Calibri" w:cstheme="minorHAnsi"/>
          <w:i/>
          <w:iCs/>
          <w:spacing w:val="-2"/>
          <w:sz w:val="20"/>
          <w:szCs w:val="20"/>
        </w:rPr>
        <w:t>TREML4</w:t>
      </w:r>
      <w:r w:rsidRPr="00C10BBC">
        <w:rPr>
          <w:rFonts w:ascii="Calibri" w:eastAsia="Times New Roman" w:hAnsi="Calibri" w:cstheme="minorHAnsi"/>
          <w:spacing w:val="-2"/>
          <w:sz w:val="20"/>
          <w:szCs w:val="20"/>
        </w:rPr>
        <w:t xml:space="preserve"> Promotes Inflammatory Programs in Human and Murine Macrophages and Alters Atherosclerosis Lesion Composition in the Apolipoprotein E Deficient Mouse. Front Immunol. 2020; 11:397. </w:t>
      </w:r>
    </w:p>
    <w:p w14:paraId="44D0A6AF"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255" w:tgtFrame="_blank" w:history="1">
        <w:r w:rsidRPr="00C10BBC">
          <w:rPr>
            <w:rFonts w:ascii="Calibri" w:eastAsia="Times New Roman" w:hAnsi="Calibri" w:cstheme="minorHAnsi"/>
            <w:color w:val="0000FF"/>
            <w:spacing w:val="-2"/>
            <w:sz w:val="20"/>
            <w:szCs w:val="20"/>
            <w:u w:val="single"/>
          </w:rPr>
          <w:t>https://doi.org/10.3389/fimmu.2020.00397</w:t>
        </w:r>
      </w:hyperlink>
      <w:r w:rsidRPr="00C10BBC">
        <w:rPr>
          <w:rFonts w:ascii="Calibri" w:eastAsia="Times New Roman" w:hAnsi="Calibri" w:cstheme="minorHAnsi"/>
          <w:spacing w:val="-2"/>
          <w:sz w:val="20"/>
          <w:szCs w:val="20"/>
        </w:rPr>
        <w:t xml:space="preserve"> </w:t>
      </w:r>
    </w:p>
    <w:p w14:paraId="13976876"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256"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32292401</w:t>
        </w:r>
      </w:hyperlink>
      <w:r w:rsidRPr="00C10BBC">
        <w:rPr>
          <w:rFonts w:ascii="Calibri" w:eastAsia="Times New Roman" w:hAnsi="Calibri" w:cstheme="minorHAnsi"/>
          <w:spacing w:val="-2"/>
          <w:sz w:val="20"/>
          <w:szCs w:val="20"/>
        </w:rPr>
        <w:t xml:space="preserve"> </w:t>
      </w:r>
    </w:p>
    <w:p w14:paraId="328F2506"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126.</w:t>
      </w:r>
      <w:r w:rsidRPr="00C10BBC">
        <w:rPr>
          <w:rFonts w:ascii="Calibri" w:eastAsia="Times New Roman" w:hAnsi="Calibri" w:cstheme="minorHAnsi"/>
          <w:spacing w:val="-2"/>
          <w:sz w:val="20"/>
          <w:szCs w:val="20"/>
        </w:rPr>
        <w:tab/>
      </w:r>
      <w:bookmarkStart w:id="255" w:name="b126"/>
      <w:bookmarkStart w:id="256" w:name="idm1163428752"/>
      <w:bookmarkEnd w:id="255"/>
      <w:bookmarkEnd w:id="256"/>
      <w:r w:rsidRPr="00C10BBC">
        <w:rPr>
          <w:rFonts w:ascii="Calibri" w:eastAsia="Times New Roman" w:hAnsi="Calibri" w:cstheme="minorHAnsi"/>
          <w:spacing w:val="-2"/>
          <w:sz w:val="20"/>
          <w:szCs w:val="20"/>
        </w:rPr>
        <w:t xml:space="preserve">Roy A, Banerjee S, Saqib U, Baig MS. NOS1-derived nitric oxide facilitates macrophage uptake of low-density lipoprotein. J Cell Biochem. 2019; 120:11593-603. </w:t>
      </w:r>
    </w:p>
    <w:p w14:paraId="388C2CD3"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257" w:tgtFrame="_blank" w:history="1">
        <w:r w:rsidRPr="00C10BBC">
          <w:rPr>
            <w:rFonts w:ascii="Calibri" w:eastAsia="Times New Roman" w:hAnsi="Calibri" w:cstheme="minorHAnsi"/>
            <w:color w:val="0000FF"/>
            <w:spacing w:val="-2"/>
            <w:sz w:val="20"/>
            <w:szCs w:val="20"/>
            <w:u w:val="single"/>
          </w:rPr>
          <w:t>https://doi.org/10.1002/jcb.28439</w:t>
        </w:r>
      </w:hyperlink>
      <w:r w:rsidRPr="00C10BBC">
        <w:rPr>
          <w:rFonts w:ascii="Calibri" w:eastAsia="Times New Roman" w:hAnsi="Calibri" w:cstheme="minorHAnsi"/>
          <w:spacing w:val="-2"/>
          <w:sz w:val="20"/>
          <w:szCs w:val="20"/>
        </w:rPr>
        <w:t xml:space="preserve"> </w:t>
      </w:r>
    </w:p>
    <w:p w14:paraId="74A065BA"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258"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30805961</w:t>
        </w:r>
      </w:hyperlink>
      <w:r w:rsidRPr="00C10BBC">
        <w:rPr>
          <w:rFonts w:ascii="Calibri" w:eastAsia="Times New Roman" w:hAnsi="Calibri" w:cstheme="minorHAnsi"/>
          <w:spacing w:val="-2"/>
          <w:sz w:val="20"/>
          <w:szCs w:val="20"/>
        </w:rPr>
        <w:t xml:space="preserve"> </w:t>
      </w:r>
    </w:p>
    <w:p w14:paraId="486B90EC"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127.</w:t>
      </w:r>
      <w:r w:rsidRPr="00C10BBC">
        <w:rPr>
          <w:rFonts w:ascii="Calibri" w:eastAsia="Times New Roman" w:hAnsi="Calibri" w:cstheme="minorHAnsi"/>
          <w:spacing w:val="-2"/>
          <w:sz w:val="20"/>
          <w:szCs w:val="20"/>
        </w:rPr>
        <w:tab/>
      </w:r>
      <w:bookmarkStart w:id="257" w:name="b127"/>
      <w:bookmarkStart w:id="258" w:name="idm1140022160"/>
      <w:bookmarkEnd w:id="257"/>
      <w:bookmarkEnd w:id="258"/>
      <w:r w:rsidRPr="00C10BBC">
        <w:rPr>
          <w:rFonts w:ascii="Calibri" w:eastAsia="Times New Roman" w:hAnsi="Calibri" w:cstheme="minorHAnsi"/>
          <w:spacing w:val="-2"/>
          <w:sz w:val="20"/>
          <w:szCs w:val="20"/>
        </w:rPr>
        <w:t xml:space="preserve">McCarthy C, Lee E, Bridges JP, Sallese A, Suzuki T, Woods JC, Bartholmai BJ, Wang T, Chalk C, Carey BC, Arumugam P, Shima K, Tarling EJ, Trapnell BC. Statin as a novel pharmacotherapy of pulmonary alveolar proteinosis. Nat Commun. 2018; 9:3127. </w:t>
      </w:r>
    </w:p>
    <w:p w14:paraId="61A38D6B"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259" w:tgtFrame="_blank" w:history="1">
        <w:r w:rsidRPr="00C10BBC">
          <w:rPr>
            <w:rFonts w:ascii="Calibri" w:eastAsia="Times New Roman" w:hAnsi="Calibri" w:cstheme="minorHAnsi"/>
            <w:color w:val="0000FF"/>
            <w:spacing w:val="-2"/>
            <w:sz w:val="20"/>
            <w:szCs w:val="20"/>
            <w:u w:val="single"/>
          </w:rPr>
          <w:t>https://doi.org/10.1038/s41467-018-05491-z</w:t>
        </w:r>
      </w:hyperlink>
      <w:r w:rsidRPr="00C10BBC">
        <w:rPr>
          <w:rFonts w:ascii="Calibri" w:eastAsia="Times New Roman" w:hAnsi="Calibri" w:cstheme="minorHAnsi"/>
          <w:spacing w:val="-2"/>
          <w:sz w:val="20"/>
          <w:szCs w:val="20"/>
        </w:rPr>
        <w:t xml:space="preserve"> </w:t>
      </w:r>
    </w:p>
    <w:p w14:paraId="5A7519FC"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260"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30087322</w:t>
        </w:r>
      </w:hyperlink>
      <w:r w:rsidRPr="00C10BBC">
        <w:rPr>
          <w:rFonts w:ascii="Calibri" w:eastAsia="Times New Roman" w:hAnsi="Calibri" w:cstheme="minorHAnsi"/>
          <w:spacing w:val="-2"/>
          <w:sz w:val="20"/>
          <w:szCs w:val="20"/>
        </w:rPr>
        <w:t xml:space="preserve"> </w:t>
      </w:r>
    </w:p>
    <w:p w14:paraId="5972C9C3"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128.</w:t>
      </w:r>
      <w:r w:rsidRPr="00C10BBC">
        <w:rPr>
          <w:rFonts w:ascii="Calibri" w:eastAsia="Times New Roman" w:hAnsi="Calibri" w:cstheme="minorHAnsi"/>
          <w:spacing w:val="-2"/>
          <w:sz w:val="20"/>
          <w:szCs w:val="20"/>
        </w:rPr>
        <w:tab/>
      </w:r>
      <w:bookmarkStart w:id="259" w:name="b128"/>
      <w:bookmarkStart w:id="260" w:name="idm1163907904"/>
      <w:bookmarkEnd w:id="259"/>
      <w:bookmarkEnd w:id="260"/>
      <w:r w:rsidRPr="00C10BBC">
        <w:rPr>
          <w:rFonts w:ascii="Calibri" w:eastAsia="Times New Roman" w:hAnsi="Calibri" w:cstheme="minorHAnsi"/>
          <w:spacing w:val="-2"/>
          <w:sz w:val="20"/>
          <w:szCs w:val="20"/>
        </w:rPr>
        <w:t xml:space="preserve">Yuan H, Zelkha S, Burkatovskaya M, Gupte R, Leeman SE, Amar S. Pivotal role of NOD2 in inflammatory processes affecting atherosclerosis and periodontal bone loss. </w:t>
      </w:r>
      <w:r w:rsidRPr="00C10BBC">
        <w:rPr>
          <w:rFonts w:ascii="Calibri" w:eastAsia="Times New Roman" w:hAnsi="Calibri" w:cstheme="minorHAnsi"/>
          <w:spacing w:val="-2"/>
          <w:sz w:val="20"/>
          <w:szCs w:val="20"/>
          <w:lang w:val="es-ES"/>
        </w:rPr>
        <w:t xml:space="preserve">Proc Natl Acad Sci USA. 2013; 110:E5059-68. </w:t>
      </w:r>
    </w:p>
    <w:p w14:paraId="23B3294A"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261" w:tgtFrame="_blank" w:history="1">
        <w:r w:rsidRPr="00C10BBC">
          <w:rPr>
            <w:rFonts w:ascii="Calibri" w:eastAsia="Times New Roman" w:hAnsi="Calibri" w:cstheme="minorHAnsi"/>
            <w:color w:val="0000FF"/>
            <w:spacing w:val="-2"/>
            <w:sz w:val="20"/>
            <w:szCs w:val="20"/>
            <w:u w:val="single"/>
            <w:lang w:val="es-ES"/>
          </w:rPr>
          <w:t>https://doi.org/10.1073/pnas.1320862110</w:t>
        </w:r>
      </w:hyperlink>
      <w:r w:rsidRPr="00C10BBC">
        <w:rPr>
          <w:rFonts w:ascii="Calibri" w:eastAsia="Times New Roman" w:hAnsi="Calibri" w:cstheme="minorHAnsi"/>
          <w:spacing w:val="-2"/>
          <w:sz w:val="20"/>
          <w:szCs w:val="20"/>
          <w:lang w:val="es-ES"/>
        </w:rPr>
        <w:t xml:space="preserve"> </w:t>
      </w:r>
    </w:p>
    <w:p w14:paraId="2B43C17E" w14:textId="77777777" w:rsidR="00615745" w:rsidRPr="00C10BBC" w:rsidRDefault="00615745" w:rsidP="00615745">
      <w:pPr>
        <w:ind w:left="529" w:hangingChars="270" w:hanging="529"/>
        <w:rPr>
          <w:rFonts w:ascii="Calibri" w:eastAsia="Times New Roman" w:hAnsi="Calibri" w:cstheme="minorHAnsi"/>
          <w:spacing w:val="-2"/>
          <w:sz w:val="20"/>
          <w:szCs w:val="20"/>
          <w:lang w:val="es-ES"/>
        </w:rPr>
      </w:pPr>
      <w:r w:rsidRPr="00C10BBC">
        <w:rPr>
          <w:rFonts w:ascii="Calibri" w:hAnsi="Calibri" w:cstheme="minorHAnsi"/>
          <w:spacing w:val="-2"/>
          <w:sz w:val="20"/>
          <w:szCs w:val="20"/>
        </w:rPr>
        <w:tab/>
      </w:r>
      <w:hyperlink r:id="rId262"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lang w:val="es-ES"/>
          </w:rPr>
          <w:t>24324141</w:t>
        </w:r>
      </w:hyperlink>
    </w:p>
    <w:p w14:paraId="6162CECC"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129.</w:t>
      </w:r>
      <w:r w:rsidRPr="00C10BBC">
        <w:rPr>
          <w:rFonts w:ascii="Calibri" w:eastAsia="Times New Roman" w:hAnsi="Calibri" w:cstheme="minorHAnsi"/>
          <w:spacing w:val="-2"/>
          <w:sz w:val="20"/>
          <w:szCs w:val="20"/>
        </w:rPr>
        <w:tab/>
      </w:r>
      <w:bookmarkStart w:id="261" w:name="b129"/>
      <w:bookmarkStart w:id="262" w:name="idm1163273232"/>
      <w:bookmarkEnd w:id="261"/>
      <w:bookmarkEnd w:id="262"/>
      <w:r w:rsidRPr="00C10BBC">
        <w:rPr>
          <w:rFonts w:ascii="Calibri" w:eastAsia="Times New Roman" w:hAnsi="Calibri" w:cstheme="minorHAnsi"/>
          <w:spacing w:val="-2"/>
          <w:sz w:val="20"/>
          <w:szCs w:val="20"/>
        </w:rPr>
        <w:t xml:space="preserve">Klein R, Knudtson MD, Klein BE, Wong TY, Cotch MF, Liu K, Cheng CY, Burke GL, Saad MF, Jacobs DR Jr, Sharrett AR. Inflammation, complement factor h, and age-related macular degeneration: the Multi-ethnic Study of Atherosclerosis. Ophthalmology. 2008; 115:1742-49. </w:t>
      </w:r>
    </w:p>
    <w:p w14:paraId="26A441A7"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263" w:tgtFrame="_blank" w:history="1">
        <w:r w:rsidRPr="00C10BBC">
          <w:rPr>
            <w:rFonts w:ascii="Calibri" w:eastAsia="Times New Roman" w:hAnsi="Calibri" w:cstheme="minorHAnsi"/>
            <w:color w:val="0000FF"/>
            <w:spacing w:val="-2"/>
            <w:sz w:val="20"/>
            <w:szCs w:val="20"/>
            <w:u w:val="single"/>
          </w:rPr>
          <w:t>https://doi.org/10.1016/j.ophtha.2008.03.021</w:t>
        </w:r>
      </w:hyperlink>
      <w:r w:rsidRPr="00C10BBC">
        <w:rPr>
          <w:rFonts w:ascii="Calibri" w:eastAsia="Times New Roman" w:hAnsi="Calibri" w:cstheme="minorHAnsi"/>
          <w:spacing w:val="-2"/>
          <w:sz w:val="20"/>
          <w:szCs w:val="20"/>
        </w:rPr>
        <w:t xml:space="preserve"> </w:t>
      </w:r>
    </w:p>
    <w:p w14:paraId="06775978"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264"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18538409</w:t>
        </w:r>
      </w:hyperlink>
      <w:r w:rsidRPr="00C10BBC">
        <w:rPr>
          <w:rFonts w:ascii="Calibri" w:eastAsia="Times New Roman" w:hAnsi="Calibri" w:cstheme="minorHAnsi"/>
          <w:spacing w:val="-2"/>
          <w:sz w:val="20"/>
          <w:szCs w:val="20"/>
        </w:rPr>
        <w:t xml:space="preserve"> </w:t>
      </w:r>
    </w:p>
    <w:p w14:paraId="2BB0141B"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130.</w:t>
      </w:r>
      <w:r w:rsidRPr="00C10BBC">
        <w:rPr>
          <w:rFonts w:ascii="Calibri" w:eastAsia="Times New Roman" w:hAnsi="Calibri" w:cstheme="minorHAnsi"/>
          <w:spacing w:val="-2"/>
          <w:sz w:val="20"/>
          <w:szCs w:val="20"/>
        </w:rPr>
        <w:tab/>
      </w:r>
      <w:bookmarkStart w:id="263" w:name="b130"/>
      <w:bookmarkStart w:id="264" w:name="idm1160315024"/>
      <w:bookmarkEnd w:id="263"/>
      <w:bookmarkEnd w:id="264"/>
      <w:r w:rsidRPr="00C10BBC">
        <w:rPr>
          <w:rFonts w:ascii="Calibri" w:eastAsia="Times New Roman" w:hAnsi="Calibri" w:cstheme="minorHAnsi"/>
          <w:spacing w:val="-2"/>
          <w:sz w:val="20"/>
          <w:szCs w:val="20"/>
        </w:rPr>
        <w:t xml:space="preserve">Tousoulis D, Kioufis S, Siasos G, Oikonomou E, Zaromitidou M, Maniatis K, Kokkou E, Mazaris S, Zakynthinos G, Konsola T, Stefanadis C. The impact of AMPD1 gene polymorphism on vascular function and inflammation in patients with coronary artery disease. </w:t>
      </w:r>
      <w:r w:rsidRPr="00C10BBC">
        <w:rPr>
          <w:rFonts w:ascii="Calibri" w:eastAsia="Times New Roman" w:hAnsi="Calibri" w:cstheme="minorHAnsi"/>
          <w:spacing w:val="-2"/>
          <w:sz w:val="20"/>
          <w:szCs w:val="20"/>
          <w:lang w:val="pt-BR"/>
        </w:rPr>
        <w:t xml:space="preserve">Int J Cardiol. 2014; 172:e516-18. </w:t>
      </w:r>
    </w:p>
    <w:p w14:paraId="1D001C8A"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265" w:tgtFrame="_blank" w:history="1">
        <w:r w:rsidRPr="00C10BBC">
          <w:rPr>
            <w:rFonts w:ascii="Calibri" w:eastAsia="Times New Roman" w:hAnsi="Calibri" w:cstheme="minorHAnsi"/>
            <w:color w:val="0000FF"/>
            <w:spacing w:val="-2"/>
            <w:sz w:val="20"/>
            <w:szCs w:val="20"/>
            <w:u w:val="single"/>
            <w:lang w:val="pt-BR"/>
          </w:rPr>
          <w:t>https://doi.org/10.1016/j.ijcard.2014.01.078</w:t>
        </w:r>
      </w:hyperlink>
      <w:r w:rsidRPr="00C10BBC">
        <w:rPr>
          <w:rFonts w:ascii="Calibri" w:eastAsia="Times New Roman" w:hAnsi="Calibri" w:cstheme="minorHAnsi"/>
          <w:spacing w:val="-2"/>
          <w:sz w:val="20"/>
          <w:szCs w:val="20"/>
          <w:lang w:val="pt-BR"/>
        </w:rPr>
        <w:t xml:space="preserve"> </w:t>
      </w:r>
    </w:p>
    <w:p w14:paraId="28538D9C" w14:textId="77777777" w:rsidR="00615745" w:rsidRPr="00C10BBC" w:rsidRDefault="00615745" w:rsidP="00615745">
      <w:pPr>
        <w:ind w:left="529" w:hangingChars="270" w:hanging="529"/>
        <w:rPr>
          <w:rFonts w:ascii="Calibri" w:eastAsia="Times New Roman" w:hAnsi="Calibri" w:cstheme="minorHAnsi"/>
          <w:spacing w:val="-2"/>
          <w:sz w:val="20"/>
          <w:szCs w:val="20"/>
          <w:lang w:val="pt-BR"/>
        </w:rPr>
      </w:pPr>
      <w:r w:rsidRPr="00C10BBC">
        <w:rPr>
          <w:rFonts w:ascii="Calibri" w:hAnsi="Calibri" w:cstheme="minorHAnsi"/>
          <w:spacing w:val="-2"/>
          <w:sz w:val="20"/>
          <w:szCs w:val="20"/>
        </w:rPr>
        <w:tab/>
      </w:r>
      <w:hyperlink r:id="rId266"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lang w:val="pt-BR"/>
          </w:rPr>
          <w:t>24508110</w:t>
        </w:r>
      </w:hyperlink>
      <w:r w:rsidRPr="00C10BBC">
        <w:rPr>
          <w:rFonts w:ascii="Calibri" w:eastAsia="Times New Roman" w:hAnsi="Calibri" w:cstheme="minorHAnsi"/>
          <w:spacing w:val="-2"/>
          <w:sz w:val="20"/>
          <w:szCs w:val="20"/>
          <w:lang w:val="pt-BR"/>
        </w:rPr>
        <w:t xml:space="preserve"> </w:t>
      </w:r>
    </w:p>
    <w:p w14:paraId="286C6B58"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lang w:val="pt-BR"/>
        </w:rPr>
        <w:t>131.</w:t>
      </w:r>
      <w:r w:rsidRPr="00C10BBC">
        <w:rPr>
          <w:rFonts w:ascii="Calibri" w:eastAsia="Times New Roman" w:hAnsi="Calibri" w:cstheme="minorHAnsi"/>
          <w:spacing w:val="-2"/>
          <w:sz w:val="20"/>
          <w:szCs w:val="20"/>
          <w:lang w:val="pt-BR"/>
        </w:rPr>
        <w:tab/>
      </w:r>
      <w:bookmarkStart w:id="265" w:name="b131"/>
      <w:bookmarkStart w:id="266" w:name="idm1155486192"/>
      <w:bookmarkEnd w:id="265"/>
      <w:bookmarkEnd w:id="266"/>
      <w:r w:rsidRPr="00C10BBC">
        <w:rPr>
          <w:rFonts w:ascii="Calibri" w:eastAsia="Times New Roman" w:hAnsi="Calibri" w:cstheme="minorHAnsi"/>
          <w:spacing w:val="-2"/>
          <w:sz w:val="20"/>
          <w:szCs w:val="20"/>
          <w:lang w:val="pt-BR"/>
        </w:rPr>
        <w:t xml:space="preserve">Demetz E, Tymoszuk P, Hilbe R, Volani C, Haschka D, Heim C, Auer K, Lener D, Zeiger LB, Pfeifhofer-Obermair C, Boehm A, Obermair GJ, Ablinger C, et al. </w:t>
      </w:r>
      <w:r w:rsidRPr="00C10BBC">
        <w:rPr>
          <w:rFonts w:ascii="Calibri" w:eastAsia="Times New Roman" w:hAnsi="Calibri" w:cstheme="minorHAnsi"/>
          <w:spacing w:val="-2"/>
          <w:sz w:val="20"/>
          <w:szCs w:val="20"/>
        </w:rPr>
        <w:t xml:space="preserve">The haemochromatosis gene Hfe and Kupffer cells control LDL cholesterol homeostasis and impact on atherosclerosis development. Eur Heart J. 2020; 41:3949-59. </w:t>
      </w:r>
    </w:p>
    <w:p w14:paraId="625EE85B"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267" w:tgtFrame="_blank" w:history="1">
        <w:r w:rsidRPr="00C10BBC">
          <w:rPr>
            <w:rFonts w:ascii="Calibri" w:eastAsia="Times New Roman" w:hAnsi="Calibri" w:cstheme="minorHAnsi"/>
            <w:color w:val="0000FF"/>
            <w:spacing w:val="-2"/>
            <w:sz w:val="20"/>
            <w:szCs w:val="20"/>
            <w:u w:val="single"/>
          </w:rPr>
          <w:t>https://doi.org/10.1093/eurheartj/ehaa140</w:t>
        </w:r>
      </w:hyperlink>
      <w:r w:rsidRPr="00C10BBC">
        <w:rPr>
          <w:rFonts w:ascii="Calibri" w:eastAsia="Times New Roman" w:hAnsi="Calibri" w:cstheme="minorHAnsi"/>
          <w:spacing w:val="-2"/>
          <w:sz w:val="20"/>
          <w:szCs w:val="20"/>
        </w:rPr>
        <w:t xml:space="preserve"> </w:t>
      </w:r>
    </w:p>
    <w:p w14:paraId="6E04DFA5"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268"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32227235</w:t>
        </w:r>
      </w:hyperlink>
      <w:r w:rsidRPr="00C10BBC">
        <w:rPr>
          <w:rFonts w:ascii="Calibri" w:eastAsia="Times New Roman" w:hAnsi="Calibri" w:cstheme="minorHAnsi"/>
          <w:spacing w:val="-2"/>
          <w:sz w:val="20"/>
          <w:szCs w:val="20"/>
        </w:rPr>
        <w:t xml:space="preserve"> </w:t>
      </w:r>
    </w:p>
    <w:p w14:paraId="4C04AF0F"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132.</w:t>
      </w:r>
      <w:r w:rsidRPr="00C10BBC">
        <w:rPr>
          <w:rFonts w:ascii="Calibri" w:eastAsia="Times New Roman" w:hAnsi="Calibri" w:cstheme="minorHAnsi"/>
          <w:spacing w:val="-2"/>
          <w:sz w:val="20"/>
          <w:szCs w:val="20"/>
        </w:rPr>
        <w:tab/>
      </w:r>
      <w:bookmarkStart w:id="267" w:name="b132"/>
      <w:bookmarkStart w:id="268" w:name="idm1157800928"/>
      <w:bookmarkEnd w:id="267"/>
      <w:bookmarkEnd w:id="268"/>
      <w:r w:rsidRPr="00C10BBC">
        <w:rPr>
          <w:rFonts w:ascii="Calibri" w:eastAsia="Times New Roman" w:hAnsi="Calibri" w:cstheme="minorHAnsi"/>
          <w:spacing w:val="-2"/>
          <w:sz w:val="20"/>
          <w:szCs w:val="20"/>
        </w:rPr>
        <w:t xml:space="preserve">Byun S, Jung H, Chen J, Kim YC, Kim DH, Kong B, Guo G, Kemper B, Kemper JK. Phosphorylation of hepatic farnesoid X receptor by FGF19 signaling-activated Src maintains cholesterol levels and protects from atherosclerosis. J Biol Chem. 2019; 294:8732-44. </w:t>
      </w:r>
    </w:p>
    <w:p w14:paraId="6ABC9E80"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269" w:tgtFrame="_blank" w:history="1">
        <w:r w:rsidRPr="00C10BBC">
          <w:rPr>
            <w:rFonts w:ascii="Calibri" w:eastAsia="Times New Roman" w:hAnsi="Calibri" w:cstheme="minorHAnsi"/>
            <w:color w:val="0000FF"/>
            <w:spacing w:val="-2"/>
            <w:sz w:val="20"/>
            <w:szCs w:val="20"/>
            <w:u w:val="single"/>
          </w:rPr>
          <w:t>https://doi.org/10.1074/jbc.RA119.008360</w:t>
        </w:r>
      </w:hyperlink>
      <w:r w:rsidRPr="00C10BBC">
        <w:rPr>
          <w:rFonts w:ascii="Calibri" w:eastAsia="Times New Roman" w:hAnsi="Calibri" w:cstheme="minorHAnsi"/>
          <w:spacing w:val="-2"/>
          <w:sz w:val="20"/>
          <w:szCs w:val="20"/>
        </w:rPr>
        <w:t xml:space="preserve"> </w:t>
      </w:r>
    </w:p>
    <w:p w14:paraId="61197C59"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270"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30996006</w:t>
        </w:r>
      </w:hyperlink>
      <w:r w:rsidRPr="00C10BBC">
        <w:rPr>
          <w:rFonts w:ascii="Calibri" w:eastAsia="Times New Roman" w:hAnsi="Calibri" w:cstheme="minorHAnsi"/>
          <w:spacing w:val="-2"/>
          <w:sz w:val="20"/>
          <w:szCs w:val="20"/>
        </w:rPr>
        <w:t xml:space="preserve"> </w:t>
      </w:r>
    </w:p>
    <w:p w14:paraId="29C45918"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133.</w:t>
      </w:r>
      <w:r w:rsidRPr="00C10BBC">
        <w:rPr>
          <w:rFonts w:ascii="Calibri" w:eastAsia="Times New Roman" w:hAnsi="Calibri" w:cstheme="minorHAnsi"/>
          <w:spacing w:val="-2"/>
          <w:sz w:val="20"/>
          <w:szCs w:val="20"/>
        </w:rPr>
        <w:tab/>
      </w:r>
      <w:bookmarkStart w:id="269" w:name="b133"/>
      <w:bookmarkStart w:id="270" w:name="idm1150047520"/>
      <w:bookmarkEnd w:id="269"/>
      <w:bookmarkEnd w:id="270"/>
      <w:r w:rsidRPr="00C10BBC">
        <w:rPr>
          <w:rFonts w:ascii="Calibri" w:eastAsia="Times New Roman" w:hAnsi="Calibri" w:cstheme="minorHAnsi"/>
          <w:spacing w:val="-2"/>
          <w:sz w:val="20"/>
          <w:szCs w:val="20"/>
        </w:rPr>
        <w:t xml:space="preserve">Rolfe BE, Stamatiou S, World CJ, Brown L, Thomas AC, Bingley JA, Worth NF, Campbell JH. Leukaemia inhibitory factor retards the progression of atherosclerosis. Cardiovasc Res. 2003; 58:222-30. </w:t>
      </w:r>
    </w:p>
    <w:p w14:paraId="6C9AC3BC"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271" w:tgtFrame="_blank" w:history="1">
        <w:r w:rsidRPr="00C10BBC">
          <w:rPr>
            <w:rFonts w:ascii="Calibri" w:eastAsia="Times New Roman" w:hAnsi="Calibri" w:cstheme="minorHAnsi"/>
            <w:color w:val="0000FF"/>
            <w:spacing w:val="-2"/>
            <w:sz w:val="20"/>
            <w:szCs w:val="20"/>
            <w:u w:val="single"/>
          </w:rPr>
          <w:t>https://doi.org/10.1016/S0008-6363(02)00832-5</w:t>
        </w:r>
      </w:hyperlink>
      <w:r w:rsidRPr="00C10BBC">
        <w:rPr>
          <w:rFonts w:ascii="Calibri" w:eastAsia="Times New Roman" w:hAnsi="Calibri" w:cstheme="minorHAnsi"/>
          <w:spacing w:val="-2"/>
          <w:sz w:val="20"/>
          <w:szCs w:val="20"/>
        </w:rPr>
        <w:t xml:space="preserve"> </w:t>
      </w:r>
    </w:p>
    <w:p w14:paraId="0853F138"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272"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12667965</w:t>
        </w:r>
      </w:hyperlink>
    </w:p>
    <w:p w14:paraId="1759B6CE"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134.</w:t>
      </w:r>
      <w:r w:rsidRPr="00C10BBC">
        <w:rPr>
          <w:rFonts w:ascii="Calibri" w:eastAsia="Times New Roman" w:hAnsi="Calibri" w:cstheme="minorHAnsi"/>
          <w:spacing w:val="-2"/>
          <w:sz w:val="20"/>
          <w:szCs w:val="20"/>
        </w:rPr>
        <w:tab/>
      </w:r>
      <w:bookmarkStart w:id="271" w:name="b134"/>
      <w:bookmarkStart w:id="272" w:name="idm1013016896"/>
      <w:bookmarkEnd w:id="271"/>
      <w:bookmarkEnd w:id="272"/>
      <w:r w:rsidRPr="00C10BBC">
        <w:rPr>
          <w:rFonts w:ascii="Calibri" w:eastAsia="Times New Roman" w:hAnsi="Calibri" w:cstheme="minorHAnsi"/>
          <w:spacing w:val="-2"/>
          <w:sz w:val="20"/>
          <w:szCs w:val="20"/>
        </w:rPr>
        <w:t xml:space="preserve">Perdomo G, Henry Dong H. Apolipoprotein D in lipid metabolism and its functional implication in atherosclerosis and aging. Aging (Albany NY). 2009; 1:17-27. </w:t>
      </w:r>
    </w:p>
    <w:p w14:paraId="67C6BEEC"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273" w:tgtFrame="_blank" w:history="1">
        <w:r w:rsidRPr="00C10BBC">
          <w:rPr>
            <w:rFonts w:ascii="Calibri" w:eastAsia="Times New Roman" w:hAnsi="Calibri" w:cstheme="minorHAnsi"/>
            <w:color w:val="0000FF"/>
            <w:spacing w:val="-2"/>
            <w:sz w:val="20"/>
            <w:szCs w:val="20"/>
            <w:u w:val="single"/>
          </w:rPr>
          <w:t>https://doi.org/10.18632/aging.100004</w:t>
        </w:r>
      </w:hyperlink>
      <w:r w:rsidRPr="00C10BBC">
        <w:rPr>
          <w:rFonts w:ascii="Calibri" w:eastAsia="Times New Roman" w:hAnsi="Calibri" w:cstheme="minorHAnsi"/>
          <w:spacing w:val="-2"/>
          <w:sz w:val="20"/>
          <w:szCs w:val="20"/>
        </w:rPr>
        <w:t xml:space="preserve"> </w:t>
      </w:r>
    </w:p>
    <w:p w14:paraId="4E974584"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274"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19946382</w:t>
        </w:r>
      </w:hyperlink>
      <w:r w:rsidRPr="00C10BBC">
        <w:rPr>
          <w:rFonts w:ascii="Calibri" w:eastAsia="Times New Roman" w:hAnsi="Calibri" w:cstheme="minorHAnsi"/>
          <w:spacing w:val="-2"/>
          <w:sz w:val="20"/>
          <w:szCs w:val="20"/>
        </w:rPr>
        <w:t xml:space="preserve"> </w:t>
      </w:r>
    </w:p>
    <w:p w14:paraId="1C52B45E"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135.</w:t>
      </w:r>
      <w:r w:rsidRPr="00C10BBC">
        <w:rPr>
          <w:rFonts w:ascii="Calibri" w:eastAsia="Times New Roman" w:hAnsi="Calibri" w:cstheme="minorHAnsi"/>
          <w:spacing w:val="-2"/>
          <w:sz w:val="20"/>
          <w:szCs w:val="20"/>
        </w:rPr>
        <w:tab/>
      </w:r>
      <w:bookmarkStart w:id="273" w:name="b135"/>
      <w:bookmarkStart w:id="274" w:name="idm1013004448"/>
      <w:bookmarkEnd w:id="273"/>
      <w:bookmarkEnd w:id="274"/>
      <w:r w:rsidRPr="00C10BBC">
        <w:rPr>
          <w:rFonts w:ascii="Calibri" w:eastAsia="Times New Roman" w:hAnsi="Calibri" w:cstheme="minorHAnsi"/>
          <w:spacing w:val="-2"/>
          <w:sz w:val="20"/>
          <w:szCs w:val="20"/>
        </w:rPr>
        <w:t xml:space="preserve">Zhang F, Sodroski C, Cha H, Li Q, Liang TJ. Infection of Hepatocytes With HCV Increases Cell Surface Levels of Heparan Sulfate Proteoglycans, Uptake of Cholesterol and Lipoprotein, and Virus Entry by Up-regulating SMAD6 and SMAD7. Gastroenterology. 2017; 152:257-270.e7. </w:t>
      </w:r>
    </w:p>
    <w:p w14:paraId="2BDE44B4"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275" w:tgtFrame="_blank" w:history="1">
        <w:r w:rsidRPr="00C10BBC">
          <w:rPr>
            <w:rFonts w:ascii="Calibri" w:eastAsia="Times New Roman" w:hAnsi="Calibri" w:cstheme="minorHAnsi"/>
            <w:color w:val="0000FF"/>
            <w:spacing w:val="-2"/>
            <w:sz w:val="20"/>
            <w:szCs w:val="20"/>
            <w:u w:val="single"/>
          </w:rPr>
          <w:t>https://doi.org/10.1053/j.gastro.2016.09.033</w:t>
        </w:r>
      </w:hyperlink>
      <w:r w:rsidRPr="00C10BBC">
        <w:rPr>
          <w:rFonts w:ascii="Calibri" w:eastAsia="Times New Roman" w:hAnsi="Calibri" w:cstheme="minorHAnsi"/>
          <w:spacing w:val="-2"/>
          <w:sz w:val="20"/>
          <w:szCs w:val="20"/>
        </w:rPr>
        <w:t xml:space="preserve"> </w:t>
      </w:r>
    </w:p>
    <w:p w14:paraId="08FE7CF8"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276"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27693511</w:t>
        </w:r>
      </w:hyperlink>
      <w:r w:rsidRPr="00C10BBC">
        <w:rPr>
          <w:rFonts w:ascii="Calibri" w:eastAsia="Times New Roman" w:hAnsi="Calibri" w:cstheme="minorHAnsi"/>
          <w:spacing w:val="-2"/>
          <w:sz w:val="20"/>
          <w:szCs w:val="20"/>
        </w:rPr>
        <w:t xml:space="preserve"> </w:t>
      </w:r>
    </w:p>
    <w:p w14:paraId="260CE5D3"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136.</w:t>
      </w:r>
      <w:r w:rsidRPr="00C10BBC">
        <w:rPr>
          <w:rFonts w:ascii="Calibri" w:eastAsia="Times New Roman" w:hAnsi="Calibri" w:cstheme="minorHAnsi"/>
          <w:spacing w:val="-2"/>
          <w:sz w:val="20"/>
          <w:szCs w:val="20"/>
        </w:rPr>
        <w:tab/>
      </w:r>
      <w:bookmarkStart w:id="275" w:name="b136"/>
      <w:bookmarkStart w:id="276" w:name="idm1008515824"/>
      <w:bookmarkEnd w:id="275"/>
      <w:bookmarkEnd w:id="276"/>
      <w:r w:rsidRPr="00C10BBC">
        <w:rPr>
          <w:rFonts w:ascii="Calibri" w:eastAsia="Times New Roman" w:hAnsi="Calibri" w:cstheme="minorHAnsi"/>
          <w:spacing w:val="-2"/>
          <w:sz w:val="20"/>
          <w:szCs w:val="20"/>
        </w:rPr>
        <w:t xml:space="preserve">Berisha SZ, Hsu J, Robinet P, Smith JD. Transcriptome analysis of genes regulated by cholesterol loading in two strains of mouse macrophages associates lysosome pathway and ER stress response with atherosclerosis susceptibility. PLoS One. 2013; 8:e65003. </w:t>
      </w:r>
    </w:p>
    <w:p w14:paraId="57D99E2D"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277" w:tgtFrame="_blank" w:history="1">
        <w:r w:rsidRPr="00C10BBC">
          <w:rPr>
            <w:rFonts w:ascii="Calibri" w:eastAsia="Times New Roman" w:hAnsi="Calibri" w:cstheme="minorHAnsi"/>
            <w:color w:val="0000FF"/>
            <w:spacing w:val="-2"/>
            <w:sz w:val="20"/>
            <w:szCs w:val="20"/>
            <w:u w:val="single"/>
          </w:rPr>
          <w:t>https://doi.org/10.1371/journal.pone.0065003</w:t>
        </w:r>
      </w:hyperlink>
      <w:r w:rsidRPr="00C10BBC">
        <w:rPr>
          <w:rFonts w:ascii="Calibri" w:eastAsia="Times New Roman" w:hAnsi="Calibri" w:cstheme="minorHAnsi"/>
          <w:spacing w:val="-2"/>
          <w:sz w:val="20"/>
          <w:szCs w:val="20"/>
        </w:rPr>
        <w:t xml:space="preserve"> </w:t>
      </w:r>
    </w:p>
    <w:p w14:paraId="52960BF9"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278"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23705026</w:t>
        </w:r>
      </w:hyperlink>
      <w:r w:rsidRPr="00C10BBC">
        <w:rPr>
          <w:rFonts w:ascii="Calibri" w:eastAsia="Times New Roman" w:hAnsi="Calibri" w:cstheme="minorHAnsi"/>
          <w:spacing w:val="-2"/>
          <w:sz w:val="20"/>
          <w:szCs w:val="20"/>
        </w:rPr>
        <w:t xml:space="preserve"> </w:t>
      </w:r>
    </w:p>
    <w:p w14:paraId="61563150"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137.</w:t>
      </w:r>
      <w:r w:rsidRPr="00C10BBC">
        <w:rPr>
          <w:rFonts w:ascii="Calibri" w:eastAsia="Times New Roman" w:hAnsi="Calibri" w:cstheme="minorHAnsi"/>
          <w:spacing w:val="-2"/>
          <w:sz w:val="20"/>
          <w:szCs w:val="20"/>
        </w:rPr>
        <w:tab/>
      </w:r>
      <w:bookmarkStart w:id="277" w:name="b137"/>
      <w:bookmarkStart w:id="278" w:name="idm1167049888"/>
      <w:bookmarkEnd w:id="277"/>
      <w:bookmarkEnd w:id="278"/>
      <w:r w:rsidRPr="00C10BBC">
        <w:rPr>
          <w:rFonts w:ascii="Calibri" w:eastAsia="Times New Roman" w:hAnsi="Calibri" w:cstheme="minorHAnsi"/>
          <w:spacing w:val="-2"/>
          <w:sz w:val="20"/>
          <w:szCs w:val="20"/>
        </w:rPr>
        <w:t xml:space="preserve">Yang Y, Yang L, Liang X, Zhu G. MicroRNA-155 Promotes Atherosclerosis Inflammation via Targeting SOCS1. Cell Physiol Biochem. 2015;36:1371-1381. </w:t>
      </w:r>
    </w:p>
    <w:p w14:paraId="42AEAC72"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279" w:history="1">
        <w:r w:rsidRPr="00F6140E">
          <w:rPr>
            <w:rStyle w:val="Hyperlink"/>
            <w:rFonts w:ascii="Calibri" w:eastAsia="Times New Roman" w:hAnsi="Calibri" w:cstheme="minorHAnsi"/>
            <w:spacing w:val="-2"/>
            <w:sz w:val="20"/>
            <w:szCs w:val="20"/>
          </w:rPr>
          <w:t>https://doi.org/10.1159/000430303</w:t>
        </w:r>
      </w:hyperlink>
      <w:r w:rsidRPr="00C10BBC">
        <w:rPr>
          <w:rFonts w:ascii="Calibri" w:eastAsia="Times New Roman" w:hAnsi="Calibri" w:cstheme="minorHAnsi"/>
          <w:spacing w:val="-2"/>
          <w:sz w:val="20"/>
          <w:szCs w:val="20"/>
        </w:rPr>
        <w:t xml:space="preserve"> PMID:</w:t>
      </w:r>
      <w:hyperlink r:id="rId280" w:history="1">
        <w:r w:rsidRPr="00640958">
          <w:rPr>
            <w:rStyle w:val="Hyperlink"/>
            <w:rFonts w:ascii="Calibri" w:eastAsia="Times New Roman" w:hAnsi="Calibri" w:cstheme="minorHAnsi"/>
            <w:spacing w:val="-2"/>
            <w:sz w:val="20"/>
            <w:szCs w:val="20"/>
          </w:rPr>
          <w:t>26159489</w:t>
        </w:r>
      </w:hyperlink>
    </w:p>
    <w:p w14:paraId="421A57D9"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138.</w:t>
      </w:r>
      <w:r w:rsidRPr="00C10BBC">
        <w:rPr>
          <w:rFonts w:ascii="Calibri" w:eastAsia="Times New Roman" w:hAnsi="Calibri" w:cstheme="minorHAnsi"/>
          <w:spacing w:val="-2"/>
          <w:sz w:val="20"/>
          <w:szCs w:val="20"/>
        </w:rPr>
        <w:tab/>
      </w:r>
      <w:bookmarkStart w:id="279" w:name="b138"/>
      <w:bookmarkStart w:id="280" w:name="idm1167041280"/>
      <w:bookmarkEnd w:id="279"/>
      <w:bookmarkEnd w:id="280"/>
      <w:r w:rsidRPr="00C10BBC">
        <w:rPr>
          <w:rFonts w:ascii="Calibri" w:eastAsia="Times New Roman" w:hAnsi="Calibri" w:cstheme="minorHAnsi"/>
          <w:spacing w:val="-2"/>
          <w:sz w:val="20"/>
          <w:szCs w:val="20"/>
        </w:rPr>
        <w:t xml:space="preserve">Delerive P, Monte D, Dubois G, Trottein F, Fruchart-Najib J, Mariani J, Fruchart JC, Staels B. The orphan nuclear receptor ROR alpha is a negative regulator of the inflammatory response. EMBO Rep. 2001; 2:42-48. </w:t>
      </w:r>
    </w:p>
    <w:p w14:paraId="07A8EFC9"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281" w:tgtFrame="_blank" w:history="1">
        <w:r w:rsidRPr="00C10BBC">
          <w:rPr>
            <w:rFonts w:ascii="Calibri" w:eastAsia="Times New Roman" w:hAnsi="Calibri" w:cstheme="minorHAnsi"/>
            <w:color w:val="0000FF"/>
            <w:spacing w:val="-2"/>
            <w:sz w:val="20"/>
            <w:szCs w:val="20"/>
            <w:u w:val="single"/>
          </w:rPr>
          <w:t>https://doi.org/10.1093/embo-reports/kve007</w:t>
        </w:r>
      </w:hyperlink>
      <w:r w:rsidRPr="00C10BBC">
        <w:rPr>
          <w:rFonts w:ascii="Calibri" w:eastAsia="Times New Roman" w:hAnsi="Calibri" w:cstheme="minorHAnsi"/>
          <w:spacing w:val="-2"/>
          <w:sz w:val="20"/>
          <w:szCs w:val="20"/>
        </w:rPr>
        <w:t xml:space="preserve"> </w:t>
      </w:r>
    </w:p>
    <w:p w14:paraId="77039E39"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282"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11252722</w:t>
        </w:r>
      </w:hyperlink>
      <w:r w:rsidRPr="00C10BBC">
        <w:rPr>
          <w:rFonts w:ascii="Calibri" w:eastAsia="Times New Roman" w:hAnsi="Calibri" w:cstheme="minorHAnsi"/>
          <w:spacing w:val="-2"/>
          <w:sz w:val="20"/>
          <w:szCs w:val="20"/>
        </w:rPr>
        <w:t xml:space="preserve"> </w:t>
      </w:r>
    </w:p>
    <w:p w14:paraId="60D9F75A"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139.</w:t>
      </w:r>
      <w:r w:rsidRPr="00C10BBC">
        <w:rPr>
          <w:rFonts w:ascii="Calibri" w:eastAsia="Times New Roman" w:hAnsi="Calibri" w:cstheme="minorHAnsi"/>
          <w:spacing w:val="-2"/>
          <w:sz w:val="20"/>
          <w:szCs w:val="20"/>
        </w:rPr>
        <w:tab/>
      </w:r>
      <w:bookmarkStart w:id="281" w:name="b139"/>
      <w:bookmarkStart w:id="282" w:name="idm1159946832"/>
      <w:bookmarkEnd w:id="281"/>
      <w:bookmarkEnd w:id="282"/>
      <w:r w:rsidRPr="00C10BBC">
        <w:rPr>
          <w:rFonts w:ascii="Calibri" w:eastAsia="Times New Roman" w:hAnsi="Calibri" w:cstheme="minorHAnsi"/>
          <w:spacing w:val="-2"/>
          <w:sz w:val="20"/>
          <w:szCs w:val="20"/>
        </w:rPr>
        <w:t xml:space="preserve">Lichtenstein L, Serhan N, Espinosa-Delgado S, Fabre A, Annema W, Tietge UJ, Robaye B, Boeynaems JM, Laffargue M, Perret B, Martinez LO. Increased atherosclerosis in P2Y13/apolipoprotein E double-knockout mice: contribution of P2Y13 to reverse cholesterol transport. Cardiovasc Res. 2015; 106:314-23. </w:t>
      </w:r>
    </w:p>
    <w:p w14:paraId="24F32145"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283" w:tgtFrame="_blank" w:history="1">
        <w:r w:rsidRPr="00C10BBC">
          <w:rPr>
            <w:rFonts w:ascii="Calibri" w:eastAsia="Times New Roman" w:hAnsi="Calibri" w:cstheme="minorHAnsi"/>
            <w:color w:val="0000FF"/>
            <w:spacing w:val="-2"/>
            <w:sz w:val="20"/>
            <w:szCs w:val="20"/>
            <w:u w:val="single"/>
          </w:rPr>
          <w:t>https://doi.org/10.1093/cvr/cvv109</w:t>
        </w:r>
      </w:hyperlink>
      <w:r w:rsidRPr="00C10BBC">
        <w:rPr>
          <w:rFonts w:ascii="Calibri" w:eastAsia="Times New Roman" w:hAnsi="Calibri" w:cstheme="minorHAnsi"/>
          <w:spacing w:val="-2"/>
          <w:sz w:val="20"/>
          <w:szCs w:val="20"/>
        </w:rPr>
        <w:t xml:space="preserve"> </w:t>
      </w:r>
    </w:p>
    <w:p w14:paraId="1E502B49"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284"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25770145</w:t>
        </w:r>
      </w:hyperlink>
      <w:r w:rsidRPr="00C10BBC">
        <w:rPr>
          <w:rFonts w:ascii="Calibri" w:eastAsia="Times New Roman" w:hAnsi="Calibri" w:cstheme="minorHAnsi"/>
          <w:spacing w:val="-2"/>
          <w:sz w:val="20"/>
          <w:szCs w:val="20"/>
        </w:rPr>
        <w:t xml:space="preserve"> </w:t>
      </w:r>
    </w:p>
    <w:p w14:paraId="0499537C"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140.</w:t>
      </w:r>
      <w:r w:rsidRPr="00C10BBC">
        <w:rPr>
          <w:rFonts w:ascii="Calibri" w:eastAsia="Times New Roman" w:hAnsi="Calibri" w:cstheme="minorHAnsi"/>
          <w:spacing w:val="-2"/>
          <w:sz w:val="20"/>
          <w:szCs w:val="20"/>
        </w:rPr>
        <w:tab/>
      </w:r>
      <w:bookmarkStart w:id="283" w:name="b140"/>
      <w:bookmarkStart w:id="284" w:name="idm1153757264"/>
      <w:bookmarkEnd w:id="283"/>
      <w:bookmarkEnd w:id="284"/>
      <w:r w:rsidRPr="00C10BBC">
        <w:rPr>
          <w:rFonts w:ascii="Calibri" w:eastAsia="Times New Roman" w:hAnsi="Calibri" w:cstheme="minorHAnsi"/>
          <w:spacing w:val="-2"/>
          <w:sz w:val="20"/>
          <w:szCs w:val="20"/>
        </w:rPr>
        <w:t xml:space="preserve">Doddapattar P, Dhanesha N, Chorawala MR, Tinsman C, Jain M, Nayak MK, Staber JM, Chauhan AK. Endothelial Cell-Derived Von Willebrand Factor, But Not Platelet-Derived, Promotes Atherosclerosis in Apolipoprotein E-Deficient Mice. Arterioscler Thromb Vasc Biol. 2018; 38:520-28. </w:t>
      </w:r>
    </w:p>
    <w:p w14:paraId="092465DC"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285" w:tgtFrame="_blank" w:history="1">
        <w:r w:rsidRPr="00C10BBC">
          <w:rPr>
            <w:rFonts w:ascii="Calibri" w:eastAsia="Times New Roman" w:hAnsi="Calibri" w:cstheme="minorHAnsi"/>
            <w:color w:val="0000FF"/>
            <w:spacing w:val="-2"/>
            <w:sz w:val="20"/>
            <w:szCs w:val="20"/>
            <w:u w:val="single"/>
          </w:rPr>
          <w:t>https://doi.org/10.1161/ATVBAHA.117.309918</w:t>
        </w:r>
      </w:hyperlink>
      <w:r w:rsidRPr="00C10BBC">
        <w:rPr>
          <w:rFonts w:ascii="Calibri" w:eastAsia="Times New Roman" w:hAnsi="Calibri" w:cstheme="minorHAnsi"/>
          <w:spacing w:val="-2"/>
          <w:sz w:val="20"/>
          <w:szCs w:val="20"/>
        </w:rPr>
        <w:t xml:space="preserve"> </w:t>
      </w:r>
    </w:p>
    <w:p w14:paraId="54646A09"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286"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29348121</w:t>
        </w:r>
      </w:hyperlink>
      <w:r w:rsidRPr="00C10BBC">
        <w:rPr>
          <w:rFonts w:ascii="Calibri" w:eastAsia="Times New Roman" w:hAnsi="Calibri" w:cstheme="minorHAnsi"/>
          <w:spacing w:val="-2"/>
          <w:sz w:val="20"/>
          <w:szCs w:val="20"/>
        </w:rPr>
        <w:t xml:space="preserve"> </w:t>
      </w:r>
    </w:p>
    <w:p w14:paraId="2B44AF31"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141.</w:t>
      </w:r>
      <w:r w:rsidRPr="00C10BBC">
        <w:rPr>
          <w:rFonts w:ascii="Calibri" w:eastAsia="Times New Roman" w:hAnsi="Calibri" w:cstheme="minorHAnsi"/>
          <w:spacing w:val="-2"/>
          <w:sz w:val="20"/>
          <w:szCs w:val="20"/>
        </w:rPr>
        <w:tab/>
      </w:r>
      <w:bookmarkStart w:id="285" w:name="b141"/>
      <w:bookmarkStart w:id="286" w:name="idm997936592"/>
      <w:bookmarkEnd w:id="285"/>
      <w:bookmarkEnd w:id="286"/>
      <w:r w:rsidRPr="00C10BBC">
        <w:rPr>
          <w:rFonts w:ascii="Calibri" w:eastAsia="Times New Roman" w:hAnsi="Calibri" w:cstheme="minorHAnsi"/>
          <w:spacing w:val="-2"/>
          <w:sz w:val="20"/>
          <w:szCs w:val="20"/>
        </w:rPr>
        <w:t xml:space="preserve">Rebe C, Raveneau M, Chevriaux A, Lakomy D, Sberna AL, Costa A, Bessede G, Athias A, Steinmetz E, Lobaccaro JM, Alves G, Menicacci A, Vachenc S, et al. Induction of transglutaminase 2 by a liver X receptor/retinoic acid receptor alpha pathway increases the clearance of apoptotic cells by human macrophages. Circ Res. 2009; 105:393-401. </w:t>
      </w:r>
    </w:p>
    <w:p w14:paraId="0501AF10"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287" w:tgtFrame="_blank" w:history="1">
        <w:r w:rsidRPr="00C10BBC">
          <w:rPr>
            <w:rFonts w:ascii="Calibri" w:eastAsia="Times New Roman" w:hAnsi="Calibri" w:cstheme="minorHAnsi"/>
            <w:color w:val="0000FF"/>
            <w:spacing w:val="-2"/>
            <w:sz w:val="20"/>
            <w:szCs w:val="20"/>
            <w:u w:val="single"/>
          </w:rPr>
          <w:t>https://doi.org/10.1161/CIRCRESAHA.109.201855</w:t>
        </w:r>
      </w:hyperlink>
      <w:r w:rsidRPr="00C10BBC">
        <w:rPr>
          <w:rFonts w:ascii="Calibri" w:eastAsia="Times New Roman" w:hAnsi="Calibri" w:cstheme="minorHAnsi"/>
          <w:spacing w:val="-2"/>
          <w:sz w:val="20"/>
          <w:szCs w:val="20"/>
        </w:rPr>
        <w:t xml:space="preserve"> </w:t>
      </w:r>
    </w:p>
    <w:p w14:paraId="2CA5BE7F"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288"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19628791</w:t>
        </w:r>
      </w:hyperlink>
      <w:r w:rsidRPr="00C10BBC">
        <w:rPr>
          <w:rFonts w:ascii="Calibri" w:eastAsia="Times New Roman" w:hAnsi="Calibri" w:cstheme="minorHAnsi"/>
          <w:spacing w:val="-2"/>
          <w:sz w:val="20"/>
          <w:szCs w:val="20"/>
        </w:rPr>
        <w:t xml:space="preserve"> </w:t>
      </w:r>
    </w:p>
    <w:p w14:paraId="6D89E520"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142.</w:t>
      </w:r>
      <w:r w:rsidRPr="00C10BBC">
        <w:rPr>
          <w:rFonts w:ascii="Calibri" w:eastAsia="Times New Roman" w:hAnsi="Calibri" w:cstheme="minorHAnsi"/>
          <w:spacing w:val="-2"/>
          <w:sz w:val="20"/>
          <w:szCs w:val="20"/>
        </w:rPr>
        <w:tab/>
      </w:r>
      <w:bookmarkStart w:id="287" w:name="b142"/>
      <w:bookmarkStart w:id="288" w:name="idm1172458576"/>
      <w:bookmarkEnd w:id="287"/>
      <w:bookmarkEnd w:id="288"/>
      <w:r w:rsidRPr="00C10BBC">
        <w:rPr>
          <w:rFonts w:ascii="Calibri" w:eastAsia="Times New Roman" w:hAnsi="Calibri" w:cstheme="minorHAnsi"/>
          <w:spacing w:val="-2"/>
          <w:sz w:val="20"/>
          <w:szCs w:val="20"/>
        </w:rPr>
        <w:t xml:space="preserve">Liu Y, Cheng J, Guo X, Mo J, Gao B, Zhou H, Wu Y, Li Z. The roles of PAI-1 gene polymorphisms in atherosclerotic diseases: A systematic review and meta-analysis involving 149,908 subjects. Gene. 2018; 673:167-73. </w:t>
      </w:r>
    </w:p>
    <w:p w14:paraId="5E27F868"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289" w:tgtFrame="_blank" w:history="1">
        <w:r w:rsidRPr="00C10BBC">
          <w:rPr>
            <w:rFonts w:ascii="Calibri" w:eastAsia="Times New Roman" w:hAnsi="Calibri" w:cstheme="minorHAnsi"/>
            <w:color w:val="0000FF"/>
            <w:spacing w:val="-2"/>
            <w:sz w:val="20"/>
            <w:szCs w:val="20"/>
            <w:u w:val="single"/>
          </w:rPr>
          <w:t>https://doi.org/10.1016/j.gene.2018.06.040</w:t>
        </w:r>
      </w:hyperlink>
      <w:r w:rsidRPr="00C10BBC">
        <w:rPr>
          <w:rFonts w:ascii="Calibri" w:eastAsia="Times New Roman" w:hAnsi="Calibri" w:cstheme="minorHAnsi"/>
          <w:spacing w:val="-2"/>
          <w:sz w:val="20"/>
          <w:szCs w:val="20"/>
        </w:rPr>
        <w:t xml:space="preserve"> </w:t>
      </w:r>
    </w:p>
    <w:p w14:paraId="3E718A51"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290"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29908999</w:t>
        </w:r>
      </w:hyperlink>
      <w:r w:rsidRPr="00C10BBC">
        <w:rPr>
          <w:rFonts w:ascii="Calibri" w:eastAsia="Times New Roman" w:hAnsi="Calibri" w:cstheme="minorHAnsi"/>
          <w:spacing w:val="-2"/>
          <w:sz w:val="20"/>
          <w:szCs w:val="20"/>
        </w:rPr>
        <w:t xml:space="preserve"> </w:t>
      </w:r>
    </w:p>
    <w:p w14:paraId="24D42BC8"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143.</w:t>
      </w:r>
      <w:r w:rsidRPr="00C10BBC">
        <w:rPr>
          <w:rFonts w:ascii="Calibri" w:eastAsia="Times New Roman" w:hAnsi="Calibri" w:cstheme="minorHAnsi"/>
          <w:spacing w:val="-2"/>
          <w:sz w:val="20"/>
          <w:szCs w:val="20"/>
        </w:rPr>
        <w:tab/>
      </w:r>
      <w:bookmarkStart w:id="289" w:name="b143"/>
      <w:bookmarkStart w:id="290" w:name="idm1143735824"/>
      <w:bookmarkEnd w:id="289"/>
      <w:bookmarkEnd w:id="290"/>
      <w:r w:rsidRPr="00C10BBC">
        <w:rPr>
          <w:rFonts w:ascii="Calibri" w:eastAsia="Times New Roman" w:hAnsi="Calibri" w:cstheme="minorHAnsi"/>
          <w:spacing w:val="-2"/>
          <w:sz w:val="20"/>
          <w:szCs w:val="20"/>
        </w:rPr>
        <w:t xml:space="preserve">Gertow K, Sennblad B, Strawbridge RJ, Ohrvik J, Zabaneh D, Shah S, Veglia F, Fava C, Kavousi M, McLachlan S, Kivimaki M, Bolton JL, Folkersen L, et al. Identification of the BCAR1-CFDP1-TMEM170A locus as a determinant of carotid intima-media thickness and coronary artery disease risk. Circ Cardiovasc Genet. 2012; 5:656-65. </w:t>
      </w:r>
    </w:p>
    <w:p w14:paraId="7AA04FC6"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291" w:tgtFrame="_blank" w:history="1">
        <w:r w:rsidRPr="00C10BBC">
          <w:rPr>
            <w:rFonts w:ascii="Calibri" w:eastAsia="Times New Roman" w:hAnsi="Calibri" w:cstheme="minorHAnsi"/>
            <w:color w:val="0000FF"/>
            <w:spacing w:val="-2"/>
            <w:sz w:val="20"/>
            <w:szCs w:val="20"/>
            <w:u w:val="single"/>
          </w:rPr>
          <w:t>https://doi.org/10.1161/CIRCGENETICS.112.963660</w:t>
        </w:r>
      </w:hyperlink>
      <w:r w:rsidRPr="00C10BBC">
        <w:rPr>
          <w:rFonts w:ascii="Calibri" w:eastAsia="Times New Roman" w:hAnsi="Calibri" w:cstheme="minorHAnsi"/>
          <w:spacing w:val="-2"/>
          <w:sz w:val="20"/>
          <w:szCs w:val="20"/>
        </w:rPr>
        <w:t xml:space="preserve"> </w:t>
      </w:r>
    </w:p>
    <w:p w14:paraId="73216101"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292"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23152477</w:t>
        </w:r>
      </w:hyperlink>
      <w:r w:rsidRPr="00C10BBC">
        <w:rPr>
          <w:rFonts w:ascii="Calibri" w:eastAsia="Times New Roman" w:hAnsi="Calibri" w:cstheme="minorHAnsi"/>
          <w:spacing w:val="-2"/>
          <w:sz w:val="20"/>
          <w:szCs w:val="20"/>
        </w:rPr>
        <w:t xml:space="preserve"> </w:t>
      </w:r>
    </w:p>
    <w:p w14:paraId="629349CA"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144.</w:t>
      </w:r>
      <w:r w:rsidRPr="00C10BBC">
        <w:rPr>
          <w:rFonts w:ascii="Calibri" w:eastAsia="Times New Roman" w:hAnsi="Calibri" w:cstheme="minorHAnsi"/>
          <w:spacing w:val="-2"/>
          <w:sz w:val="20"/>
          <w:szCs w:val="20"/>
        </w:rPr>
        <w:tab/>
      </w:r>
      <w:bookmarkStart w:id="291" w:name="b144"/>
      <w:bookmarkStart w:id="292" w:name="idm1154598032"/>
      <w:bookmarkEnd w:id="291"/>
      <w:bookmarkEnd w:id="292"/>
      <w:r w:rsidRPr="00C10BBC">
        <w:rPr>
          <w:rFonts w:ascii="Calibri" w:eastAsia="Times New Roman" w:hAnsi="Calibri" w:cstheme="minorHAnsi"/>
          <w:spacing w:val="-2"/>
          <w:sz w:val="20"/>
          <w:szCs w:val="20"/>
        </w:rPr>
        <w:t xml:space="preserve">Lutgens E, Lutgens SP, Faber BC, Heeneman S, Gijbels MM, de Winther MP, Frederik P, van der Made I, Daugherty A, Sijbers AM, Fisher A, Long CJ, Saftig P, et al. Disruption of the cathepsin K gene reduces atherosclerosis progression and induces plaque fibrosis but accelerates macrophage foam cell formation. Circulation. 2006; 113:98-107. </w:t>
      </w:r>
    </w:p>
    <w:p w14:paraId="4782AFE9"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293" w:tgtFrame="_blank" w:history="1">
        <w:r w:rsidRPr="00C10BBC">
          <w:rPr>
            <w:rFonts w:ascii="Calibri" w:eastAsia="Times New Roman" w:hAnsi="Calibri" w:cstheme="minorHAnsi"/>
            <w:color w:val="0000FF"/>
            <w:spacing w:val="-2"/>
            <w:sz w:val="20"/>
            <w:szCs w:val="20"/>
            <w:u w:val="single"/>
          </w:rPr>
          <w:t>https://doi.org/10.1161/CIRCULATIONAHA.105.561449</w:t>
        </w:r>
      </w:hyperlink>
      <w:r w:rsidRPr="00C10BBC">
        <w:rPr>
          <w:rFonts w:ascii="Calibri" w:eastAsia="Times New Roman" w:hAnsi="Calibri" w:cstheme="minorHAnsi"/>
          <w:spacing w:val="-2"/>
          <w:sz w:val="20"/>
          <w:szCs w:val="20"/>
        </w:rPr>
        <w:t xml:space="preserve"> </w:t>
      </w:r>
    </w:p>
    <w:p w14:paraId="7BA35C33"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294"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16365196</w:t>
        </w:r>
      </w:hyperlink>
      <w:r w:rsidRPr="00C10BBC">
        <w:rPr>
          <w:rFonts w:ascii="Calibri" w:eastAsia="Times New Roman" w:hAnsi="Calibri" w:cstheme="minorHAnsi"/>
          <w:spacing w:val="-2"/>
          <w:sz w:val="20"/>
          <w:szCs w:val="20"/>
        </w:rPr>
        <w:t xml:space="preserve"> </w:t>
      </w:r>
    </w:p>
    <w:p w14:paraId="45151992"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145.</w:t>
      </w:r>
      <w:r w:rsidRPr="00C10BBC">
        <w:rPr>
          <w:rFonts w:ascii="Calibri" w:eastAsia="Times New Roman" w:hAnsi="Calibri" w:cstheme="minorHAnsi"/>
          <w:spacing w:val="-2"/>
          <w:sz w:val="20"/>
          <w:szCs w:val="20"/>
        </w:rPr>
        <w:tab/>
      </w:r>
      <w:bookmarkStart w:id="293" w:name="b145"/>
      <w:bookmarkStart w:id="294" w:name="idm1169739696"/>
      <w:bookmarkEnd w:id="293"/>
      <w:bookmarkEnd w:id="294"/>
      <w:r w:rsidRPr="00C10BBC">
        <w:rPr>
          <w:rFonts w:ascii="Calibri" w:eastAsia="Times New Roman" w:hAnsi="Calibri" w:cstheme="minorHAnsi"/>
          <w:spacing w:val="-2"/>
          <w:sz w:val="20"/>
          <w:szCs w:val="20"/>
        </w:rPr>
        <w:t xml:space="preserve">Arvind P, Nair J, Jambunathan S, Kakkar VV, Shanker J. CELSR2-PSRC1-SORT1 gene expression and association with coronary artery disease and plasma lipid levels in an Asian Indian cohort. J Cardiol. 2014; 64:339-46. </w:t>
      </w:r>
    </w:p>
    <w:p w14:paraId="5582D86B"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295" w:tgtFrame="_blank" w:history="1">
        <w:r w:rsidRPr="00C10BBC">
          <w:rPr>
            <w:rFonts w:ascii="Calibri" w:eastAsia="Times New Roman" w:hAnsi="Calibri" w:cstheme="minorHAnsi"/>
            <w:color w:val="0000FF"/>
            <w:spacing w:val="-2"/>
            <w:sz w:val="20"/>
            <w:szCs w:val="20"/>
            <w:u w:val="single"/>
          </w:rPr>
          <w:t>https://doi.org/10.1016/j.jjcc.2014.02.012</w:t>
        </w:r>
      </w:hyperlink>
      <w:r w:rsidRPr="00C10BBC">
        <w:rPr>
          <w:rFonts w:ascii="Calibri" w:eastAsia="Times New Roman" w:hAnsi="Calibri" w:cstheme="minorHAnsi"/>
          <w:spacing w:val="-2"/>
          <w:sz w:val="20"/>
          <w:szCs w:val="20"/>
        </w:rPr>
        <w:t xml:space="preserve"> </w:t>
      </w:r>
    </w:p>
    <w:p w14:paraId="17B56DAB"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296"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24674750</w:t>
        </w:r>
      </w:hyperlink>
      <w:r w:rsidRPr="00C10BBC">
        <w:rPr>
          <w:rFonts w:ascii="Calibri" w:eastAsia="Times New Roman" w:hAnsi="Calibri" w:cstheme="minorHAnsi"/>
          <w:spacing w:val="-2"/>
          <w:sz w:val="20"/>
          <w:szCs w:val="20"/>
        </w:rPr>
        <w:t xml:space="preserve"> </w:t>
      </w:r>
    </w:p>
    <w:p w14:paraId="263D0912"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146.</w:t>
      </w:r>
      <w:r w:rsidRPr="00C10BBC">
        <w:rPr>
          <w:rFonts w:ascii="Calibri" w:eastAsia="Times New Roman" w:hAnsi="Calibri" w:cstheme="minorHAnsi"/>
          <w:spacing w:val="-2"/>
          <w:sz w:val="20"/>
          <w:szCs w:val="20"/>
        </w:rPr>
        <w:tab/>
      </w:r>
      <w:bookmarkStart w:id="295" w:name="b146"/>
      <w:bookmarkStart w:id="296" w:name="idm1154571520"/>
      <w:bookmarkEnd w:id="295"/>
      <w:bookmarkEnd w:id="296"/>
      <w:r w:rsidRPr="00C10BBC">
        <w:rPr>
          <w:rFonts w:ascii="Calibri" w:eastAsia="Times New Roman" w:hAnsi="Calibri" w:cstheme="minorHAnsi"/>
          <w:spacing w:val="-2"/>
          <w:sz w:val="20"/>
          <w:szCs w:val="20"/>
        </w:rPr>
        <w:t xml:space="preserve">Bodary PF, Shen Y, Vargas FB, Bi X, Ostenso KA, Gu S, Shayman JA, Eitzman DT. Alpha-galactosidase A deficiency accelerates atherosclerosis in mice with apolipoprotein E deficiency. Circulation. 2005; 111:629-32. </w:t>
      </w:r>
    </w:p>
    <w:p w14:paraId="0E91CA1D"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297" w:tgtFrame="_blank" w:history="1">
        <w:r w:rsidRPr="00C10BBC">
          <w:rPr>
            <w:rFonts w:ascii="Calibri" w:eastAsia="Times New Roman" w:hAnsi="Calibri" w:cstheme="minorHAnsi"/>
            <w:color w:val="0000FF"/>
            <w:spacing w:val="-2"/>
            <w:sz w:val="20"/>
            <w:szCs w:val="20"/>
            <w:u w:val="single"/>
          </w:rPr>
          <w:t>https://doi.org/10.1161/01.CIR.0000154550.15963.80</w:t>
        </w:r>
      </w:hyperlink>
      <w:r w:rsidRPr="00C10BBC">
        <w:rPr>
          <w:rFonts w:ascii="Calibri" w:eastAsia="Times New Roman" w:hAnsi="Calibri" w:cstheme="minorHAnsi"/>
          <w:spacing w:val="-2"/>
          <w:sz w:val="20"/>
          <w:szCs w:val="20"/>
        </w:rPr>
        <w:t xml:space="preserve"> </w:t>
      </w:r>
    </w:p>
    <w:p w14:paraId="0A037475"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298"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15668341</w:t>
        </w:r>
      </w:hyperlink>
      <w:r w:rsidRPr="00C10BBC">
        <w:rPr>
          <w:rFonts w:ascii="Calibri" w:eastAsia="Times New Roman" w:hAnsi="Calibri" w:cstheme="minorHAnsi"/>
          <w:spacing w:val="-2"/>
          <w:sz w:val="20"/>
          <w:szCs w:val="20"/>
        </w:rPr>
        <w:t xml:space="preserve"> </w:t>
      </w:r>
    </w:p>
    <w:p w14:paraId="41976FA4"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147.</w:t>
      </w:r>
      <w:r w:rsidRPr="00C10BBC">
        <w:rPr>
          <w:rFonts w:ascii="Calibri" w:eastAsia="Times New Roman" w:hAnsi="Calibri" w:cstheme="minorHAnsi"/>
          <w:spacing w:val="-2"/>
          <w:sz w:val="20"/>
          <w:szCs w:val="20"/>
        </w:rPr>
        <w:tab/>
      </w:r>
      <w:bookmarkStart w:id="297" w:name="b147"/>
      <w:bookmarkStart w:id="298" w:name="idm1151348256"/>
      <w:bookmarkEnd w:id="297"/>
      <w:bookmarkEnd w:id="298"/>
      <w:r w:rsidRPr="00C10BBC">
        <w:rPr>
          <w:rFonts w:ascii="Calibri" w:eastAsia="Times New Roman" w:hAnsi="Calibri" w:cstheme="minorHAnsi"/>
          <w:spacing w:val="-2"/>
          <w:sz w:val="20"/>
          <w:szCs w:val="20"/>
        </w:rPr>
        <w:t xml:space="preserve">Sandberg WJ, Yndestad A, Oie E, Smith C, Ueland T, Ovchinnikova O, Robertson AK, Muller F, Semb AG, Scholz H, Andreassen AK, Gullestad L, Damas JK, et al. Enhanced T-cell expression of RANK ligand in acute coronary syndrome: possible role in plaque destabilization. Arterioscler Thromb Vasc Biol. 2006; 26:857-63. </w:t>
      </w:r>
    </w:p>
    <w:p w14:paraId="69A2B6D3"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299" w:tgtFrame="_blank" w:history="1">
        <w:r w:rsidRPr="00C10BBC">
          <w:rPr>
            <w:rFonts w:ascii="Calibri" w:eastAsia="Times New Roman" w:hAnsi="Calibri" w:cstheme="minorHAnsi"/>
            <w:color w:val="0000FF"/>
            <w:spacing w:val="-2"/>
            <w:sz w:val="20"/>
            <w:szCs w:val="20"/>
            <w:u w:val="single"/>
          </w:rPr>
          <w:t>https://doi.org/10.1161/01.ATV.0000204334.48195.6a</w:t>
        </w:r>
      </w:hyperlink>
      <w:r w:rsidRPr="00C10BBC">
        <w:rPr>
          <w:rFonts w:ascii="Calibri" w:eastAsia="Times New Roman" w:hAnsi="Calibri" w:cstheme="minorHAnsi"/>
          <w:spacing w:val="-2"/>
          <w:sz w:val="20"/>
          <w:szCs w:val="20"/>
        </w:rPr>
        <w:t xml:space="preserve"> </w:t>
      </w:r>
    </w:p>
    <w:p w14:paraId="224CAB19"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300"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16424351</w:t>
        </w:r>
      </w:hyperlink>
      <w:r w:rsidRPr="00C10BBC">
        <w:rPr>
          <w:rFonts w:ascii="Calibri" w:eastAsia="Times New Roman" w:hAnsi="Calibri" w:cstheme="minorHAnsi"/>
          <w:spacing w:val="-2"/>
          <w:sz w:val="20"/>
          <w:szCs w:val="20"/>
        </w:rPr>
        <w:t xml:space="preserve"> </w:t>
      </w:r>
    </w:p>
    <w:p w14:paraId="724CADE1"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148.</w:t>
      </w:r>
      <w:r w:rsidRPr="00C10BBC">
        <w:rPr>
          <w:rFonts w:ascii="Calibri" w:eastAsia="Times New Roman" w:hAnsi="Calibri" w:cstheme="minorHAnsi"/>
          <w:spacing w:val="-2"/>
          <w:sz w:val="20"/>
          <w:szCs w:val="20"/>
        </w:rPr>
        <w:tab/>
      </w:r>
      <w:bookmarkStart w:id="299" w:name="b148"/>
      <w:bookmarkStart w:id="300" w:name="idm1005558656"/>
      <w:bookmarkEnd w:id="299"/>
      <w:bookmarkEnd w:id="300"/>
      <w:r w:rsidRPr="00C10BBC">
        <w:rPr>
          <w:rFonts w:ascii="Calibri" w:eastAsia="Times New Roman" w:hAnsi="Calibri" w:cstheme="minorHAnsi"/>
          <w:spacing w:val="-2"/>
          <w:sz w:val="20"/>
          <w:szCs w:val="20"/>
        </w:rPr>
        <w:t xml:space="preserve">Agardh HE, Folkersen L, Ekstrand J, Marcus D, Swedenborg J, Hedin U, Gabrielsen A, Paulsson-Berne G. Expression of fatty acid-binding protein 4/aP2 is correlated with plaque instability in carotid atherosclerosis. J Intern Med. 2011; 269:200-10. </w:t>
      </w:r>
    </w:p>
    <w:p w14:paraId="02B77BBD"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301" w:tgtFrame="_blank" w:history="1">
        <w:r w:rsidRPr="00C10BBC">
          <w:rPr>
            <w:rFonts w:ascii="Calibri" w:eastAsia="Times New Roman" w:hAnsi="Calibri" w:cstheme="minorHAnsi"/>
            <w:color w:val="0000FF"/>
            <w:spacing w:val="-2"/>
            <w:sz w:val="20"/>
            <w:szCs w:val="20"/>
            <w:u w:val="single"/>
          </w:rPr>
          <w:t>https://doi.org/10.1111/j.1365-2796.2010.02304.x</w:t>
        </w:r>
      </w:hyperlink>
      <w:r w:rsidRPr="00C10BBC">
        <w:rPr>
          <w:rFonts w:ascii="Calibri" w:eastAsia="Times New Roman" w:hAnsi="Calibri" w:cstheme="minorHAnsi"/>
          <w:spacing w:val="-2"/>
          <w:sz w:val="20"/>
          <w:szCs w:val="20"/>
        </w:rPr>
        <w:t xml:space="preserve"> </w:t>
      </w:r>
    </w:p>
    <w:p w14:paraId="5412C3D2"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302"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21073559</w:t>
        </w:r>
      </w:hyperlink>
      <w:r w:rsidRPr="00C10BBC">
        <w:rPr>
          <w:rFonts w:ascii="Calibri" w:eastAsia="Times New Roman" w:hAnsi="Calibri" w:cstheme="minorHAnsi"/>
          <w:spacing w:val="-2"/>
          <w:sz w:val="20"/>
          <w:szCs w:val="20"/>
        </w:rPr>
        <w:t xml:space="preserve"> </w:t>
      </w:r>
    </w:p>
    <w:p w14:paraId="6EEF380A"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149.</w:t>
      </w:r>
      <w:r w:rsidRPr="00C10BBC">
        <w:rPr>
          <w:rFonts w:ascii="Calibri" w:eastAsia="Times New Roman" w:hAnsi="Calibri" w:cstheme="minorHAnsi"/>
          <w:spacing w:val="-2"/>
          <w:sz w:val="20"/>
          <w:szCs w:val="20"/>
        </w:rPr>
        <w:tab/>
      </w:r>
      <w:bookmarkStart w:id="301" w:name="b149"/>
      <w:bookmarkStart w:id="302" w:name="idm1159193712"/>
      <w:bookmarkEnd w:id="301"/>
      <w:bookmarkEnd w:id="302"/>
      <w:r w:rsidRPr="00C10BBC">
        <w:rPr>
          <w:rFonts w:ascii="Calibri" w:eastAsia="Times New Roman" w:hAnsi="Calibri" w:cstheme="minorHAnsi"/>
          <w:spacing w:val="-2"/>
          <w:sz w:val="20"/>
          <w:szCs w:val="20"/>
        </w:rPr>
        <w:t xml:space="preserve">Trigueros-Motos L, van Capelleveen JC, Torta F, Castano D, Zhang LH, Chai EC, Kang M, Dimova LG, Schimmel AW, Tietjen I, Radomski C, Tan LJ, Thiam CH, et al. ABCA8 Regulates Cholesterol Efflux and High-Density Lipoprotein Cholesterol Levels. Arterioscler Thromb Vasc Biol. 2017; 37:2147-55. </w:t>
      </w:r>
    </w:p>
    <w:p w14:paraId="6A45C5ED"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303" w:tgtFrame="_blank" w:history="1">
        <w:r w:rsidRPr="00C10BBC">
          <w:rPr>
            <w:rFonts w:ascii="Calibri" w:eastAsia="Times New Roman" w:hAnsi="Calibri" w:cstheme="minorHAnsi"/>
            <w:color w:val="0000FF"/>
            <w:spacing w:val="-2"/>
            <w:sz w:val="20"/>
            <w:szCs w:val="20"/>
            <w:u w:val="single"/>
          </w:rPr>
          <w:t>https://doi.org/10.1161/ATVBAHA.117.309574</w:t>
        </w:r>
      </w:hyperlink>
      <w:r w:rsidRPr="00C10BBC">
        <w:rPr>
          <w:rFonts w:ascii="Calibri" w:eastAsia="Times New Roman" w:hAnsi="Calibri" w:cstheme="minorHAnsi"/>
          <w:spacing w:val="-2"/>
          <w:sz w:val="20"/>
          <w:szCs w:val="20"/>
        </w:rPr>
        <w:t xml:space="preserve"> </w:t>
      </w:r>
    </w:p>
    <w:p w14:paraId="11C6FD53"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304"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28882873</w:t>
        </w:r>
      </w:hyperlink>
      <w:r w:rsidRPr="00C10BBC">
        <w:rPr>
          <w:rFonts w:ascii="Calibri" w:eastAsia="Times New Roman" w:hAnsi="Calibri" w:cstheme="minorHAnsi"/>
          <w:spacing w:val="-2"/>
          <w:sz w:val="20"/>
          <w:szCs w:val="20"/>
        </w:rPr>
        <w:t xml:space="preserve"> </w:t>
      </w:r>
    </w:p>
    <w:p w14:paraId="19F12608"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150.</w:t>
      </w:r>
      <w:r w:rsidRPr="00C10BBC">
        <w:rPr>
          <w:rFonts w:ascii="Calibri" w:eastAsia="Times New Roman" w:hAnsi="Calibri" w:cstheme="minorHAnsi"/>
          <w:spacing w:val="-2"/>
          <w:sz w:val="20"/>
          <w:szCs w:val="20"/>
        </w:rPr>
        <w:tab/>
      </w:r>
      <w:bookmarkStart w:id="303" w:name="b150"/>
      <w:bookmarkStart w:id="304" w:name="idm1160944832"/>
      <w:bookmarkEnd w:id="303"/>
      <w:bookmarkEnd w:id="304"/>
      <w:r w:rsidRPr="00C10BBC">
        <w:rPr>
          <w:rFonts w:ascii="Calibri" w:eastAsia="Times New Roman" w:hAnsi="Calibri" w:cstheme="minorHAnsi"/>
          <w:spacing w:val="-2"/>
          <w:sz w:val="20"/>
          <w:szCs w:val="20"/>
        </w:rPr>
        <w:t xml:space="preserve">Aldi S, Matic LP, Hamm G, van Keulen D, Tempel D, Holmstrom K, Szwajda A, Nielsen BS, Emilsson V, Ait-Belkacem R, Lengquist M, Paulsson-Berne G, Eriksson P, et al. Integrated Human Evaluation of the Lysophosphatidic Acid Pathway as a Novel Therapeutic Target in Atherosclerosis. Mol Ther Methods Clin Dev. 2018; 10:17-28. </w:t>
      </w:r>
    </w:p>
    <w:p w14:paraId="534CC251"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305" w:tgtFrame="_blank" w:history="1">
        <w:r w:rsidRPr="00C10BBC">
          <w:rPr>
            <w:rFonts w:ascii="Calibri" w:eastAsia="Times New Roman" w:hAnsi="Calibri" w:cstheme="minorHAnsi"/>
            <w:color w:val="0000FF"/>
            <w:spacing w:val="-2"/>
            <w:sz w:val="20"/>
            <w:szCs w:val="20"/>
            <w:u w:val="single"/>
          </w:rPr>
          <w:t>https://doi.org/10.1016/j.omtm.2018.05.003</w:t>
        </w:r>
      </w:hyperlink>
      <w:r w:rsidRPr="00C10BBC">
        <w:rPr>
          <w:rFonts w:ascii="Calibri" w:eastAsia="Times New Roman" w:hAnsi="Calibri" w:cstheme="minorHAnsi"/>
          <w:spacing w:val="-2"/>
          <w:sz w:val="20"/>
          <w:szCs w:val="20"/>
        </w:rPr>
        <w:t xml:space="preserve"> </w:t>
      </w:r>
    </w:p>
    <w:p w14:paraId="42C78D38"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306"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30003117</w:t>
        </w:r>
      </w:hyperlink>
      <w:r w:rsidRPr="00C10BBC">
        <w:rPr>
          <w:rFonts w:ascii="Calibri" w:eastAsia="Times New Roman" w:hAnsi="Calibri" w:cstheme="minorHAnsi"/>
          <w:spacing w:val="-2"/>
          <w:sz w:val="20"/>
          <w:szCs w:val="20"/>
        </w:rPr>
        <w:t xml:space="preserve"> </w:t>
      </w:r>
    </w:p>
    <w:p w14:paraId="7C81777B"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151.</w:t>
      </w:r>
      <w:r w:rsidRPr="00C10BBC">
        <w:rPr>
          <w:rFonts w:ascii="Calibri" w:eastAsia="Times New Roman" w:hAnsi="Calibri" w:cstheme="minorHAnsi"/>
          <w:spacing w:val="-2"/>
          <w:sz w:val="20"/>
          <w:szCs w:val="20"/>
        </w:rPr>
        <w:tab/>
      </w:r>
      <w:bookmarkStart w:id="305" w:name="b151"/>
      <w:bookmarkStart w:id="306" w:name="idm1159802128"/>
      <w:bookmarkEnd w:id="305"/>
      <w:bookmarkEnd w:id="306"/>
      <w:r w:rsidRPr="00C10BBC">
        <w:rPr>
          <w:rFonts w:ascii="Calibri" w:eastAsia="Times New Roman" w:hAnsi="Calibri" w:cstheme="minorHAnsi"/>
          <w:spacing w:val="-2"/>
          <w:sz w:val="20"/>
          <w:szCs w:val="20"/>
        </w:rPr>
        <w:t xml:space="preserve">Srikakulapu P, Hu D, Yin C, Mohanta SK, Bontha SV, Peng L, Beer M, Weber C, McNamara CA, Grassia G, Maffia P, Manz RA, Habenicht AJ. Artery Tertiary Lymphoid Organs Control Multilayered Territorialized Atherosclerosis B-Cell Responses in Aged ApoE-/- Mice. Arterioscler Thromb Vasc Biol. 2016; 36:1174-85. </w:t>
      </w:r>
    </w:p>
    <w:p w14:paraId="0DD1973B"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307" w:tgtFrame="_blank" w:history="1">
        <w:r w:rsidRPr="00C10BBC">
          <w:rPr>
            <w:rFonts w:ascii="Calibri" w:eastAsia="Times New Roman" w:hAnsi="Calibri" w:cstheme="minorHAnsi"/>
            <w:color w:val="0000FF"/>
            <w:spacing w:val="-2"/>
            <w:sz w:val="20"/>
            <w:szCs w:val="20"/>
            <w:u w:val="single"/>
          </w:rPr>
          <w:t>https://doi.org/10.1161/ATVBAHA.115.306983</w:t>
        </w:r>
      </w:hyperlink>
      <w:r w:rsidRPr="00C10BBC">
        <w:rPr>
          <w:rFonts w:ascii="Calibri" w:eastAsia="Times New Roman" w:hAnsi="Calibri" w:cstheme="minorHAnsi"/>
          <w:spacing w:val="-2"/>
          <w:sz w:val="20"/>
          <w:szCs w:val="20"/>
        </w:rPr>
        <w:t xml:space="preserve"> </w:t>
      </w:r>
    </w:p>
    <w:p w14:paraId="3CA37B57"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308"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27102965</w:t>
        </w:r>
      </w:hyperlink>
      <w:r w:rsidRPr="00C10BBC">
        <w:rPr>
          <w:rFonts w:ascii="Calibri" w:eastAsia="Times New Roman" w:hAnsi="Calibri" w:cstheme="minorHAnsi"/>
          <w:spacing w:val="-2"/>
          <w:sz w:val="20"/>
          <w:szCs w:val="20"/>
        </w:rPr>
        <w:t xml:space="preserve"> </w:t>
      </w:r>
    </w:p>
    <w:p w14:paraId="66BF8854"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152.</w:t>
      </w:r>
      <w:r w:rsidRPr="00C10BBC">
        <w:rPr>
          <w:rFonts w:ascii="Calibri" w:eastAsia="Times New Roman" w:hAnsi="Calibri" w:cstheme="minorHAnsi"/>
          <w:spacing w:val="-2"/>
          <w:sz w:val="20"/>
          <w:szCs w:val="20"/>
        </w:rPr>
        <w:tab/>
      </w:r>
      <w:bookmarkStart w:id="307" w:name="b152"/>
      <w:bookmarkStart w:id="308" w:name="idm1168051632"/>
      <w:bookmarkEnd w:id="307"/>
      <w:bookmarkEnd w:id="308"/>
      <w:r w:rsidRPr="00C10BBC">
        <w:rPr>
          <w:rFonts w:ascii="Calibri" w:eastAsia="Times New Roman" w:hAnsi="Calibri" w:cstheme="minorHAnsi"/>
          <w:spacing w:val="-2"/>
          <w:sz w:val="20"/>
          <w:szCs w:val="20"/>
        </w:rPr>
        <w:t xml:space="preserve">Reimers GJ, Jackson CL, Rickards J, Chan PY, Cohn JS, Rye KA, Barter PJ, Rodgers KJ. Inhibition of rupture of established atherosclerotic plaques by treatment with apolipoprotein A-I. Cardiovasc Res. 2011; 91:37-44. </w:t>
      </w:r>
    </w:p>
    <w:p w14:paraId="5CDDE28B"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309" w:tgtFrame="_blank" w:history="1">
        <w:r w:rsidRPr="00C10BBC">
          <w:rPr>
            <w:rFonts w:ascii="Calibri" w:eastAsia="Times New Roman" w:hAnsi="Calibri" w:cstheme="minorHAnsi"/>
            <w:color w:val="0000FF"/>
            <w:spacing w:val="-2"/>
            <w:sz w:val="20"/>
            <w:szCs w:val="20"/>
            <w:u w:val="single"/>
          </w:rPr>
          <w:t>https://doi.org/10.1093/cvr/cvr057</w:t>
        </w:r>
      </w:hyperlink>
      <w:r w:rsidRPr="00C10BBC">
        <w:rPr>
          <w:rFonts w:ascii="Calibri" w:eastAsia="Times New Roman" w:hAnsi="Calibri" w:cstheme="minorHAnsi"/>
          <w:spacing w:val="-2"/>
          <w:sz w:val="20"/>
          <w:szCs w:val="20"/>
        </w:rPr>
        <w:t xml:space="preserve"> </w:t>
      </w:r>
    </w:p>
    <w:p w14:paraId="4748DB24"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310"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21354994</w:t>
        </w:r>
      </w:hyperlink>
      <w:r w:rsidRPr="00C10BBC">
        <w:rPr>
          <w:rFonts w:ascii="Calibri" w:eastAsia="Times New Roman" w:hAnsi="Calibri" w:cstheme="minorHAnsi"/>
          <w:spacing w:val="-2"/>
          <w:sz w:val="20"/>
          <w:szCs w:val="20"/>
        </w:rPr>
        <w:t xml:space="preserve"> </w:t>
      </w:r>
    </w:p>
    <w:p w14:paraId="510BDC74"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153.</w:t>
      </w:r>
      <w:r w:rsidRPr="00C10BBC">
        <w:rPr>
          <w:rFonts w:ascii="Calibri" w:eastAsia="Times New Roman" w:hAnsi="Calibri" w:cstheme="minorHAnsi"/>
          <w:spacing w:val="-2"/>
          <w:sz w:val="20"/>
          <w:szCs w:val="20"/>
        </w:rPr>
        <w:tab/>
      </w:r>
      <w:bookmarkStart w:id="309" w:name="b153"/>
      <w:bookmarkStart w:id="310" w:name="idm1138161600"/>
      <w:bookmarkEnd w:id="309"/>
      <w:bookmarkEnd w:id="310"/>
      <w:r w:rsidRPr="00C10BBC">
        <w:rPr>
          <w:rFonts w:ascii="Calibri" w:eastAsia="Times New Roman" w:hAnsi="Calibri" w:cstheme="minorHAnsi"/>
          <w:spacing w:val="-2"/>
          <w:sz w:val="20"/>
          <w:szCs w:val="20"/>
        </w:rPr>
        <w:t xml:space="preserve">Gertow K, Nobili E, Folkersen L, Newman JW, Pedersen TL, Ekstrand J, Swedenborg J, Kuhn H, Wheelock CE, Hansson GK, Hedin U, Haeggstrom JZ, Gabrielsen A. 12- and 15-lipoxygenases in human carotid atherosclerotic lesions: associations with cerebrovascular symptoms. Atherosclerosis. 2011; 215:411-16. </w:t>
      </w:r>
    </w:p>
    <w:p w14:paraId="4F1528F4"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311" w:tgtFrame="_blank" w:history="1">
        <w:r w:rsidRPr="00C10BBC">
          <w:rPr>
            <w:rFonts w:ascii="Calibri" w:eastAsia="Times New Roman" w:hAnsi="Calibri" w:cstheme="minorHAnsi"/>
            <w:color w:val="0000FF"/>
            <w:spacing w:val="-2"/>
            <w:sz w:val="20"/>
            <w:szCs w:val="20"/>
            <w:u w:val="single"/>
          </w:rPr>
          <w:t>https://doi.org/10.1016/j.atherosclerosis.2011.01.015</w:t>
        </w:r>
      </w:hyperlink>
      <w:r w:rsidRPr="00C10BBC">
        <w:rPr>
          <w:rFonts w:ascii="Calibri" w:eastAsia="Times New Roman" w:hAnsi="Calibri" w:cstheme="minorHAnsi"/>
          <w:spacing w:val="-2"/>
          <w:sz w:val="20"/>
          <w:szCs w:val="20"/>
        </w:rPr>
        <w:t xml:space="preserve"> </w:t>
      </w:r>
    </w:p>
    <w:p w14:paraId="79D0F82C"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312"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21316676</w:t>
        </w:r>
      </w:hyperlink>
      <w:r w:rsidRPr="00C10BBC">
        <w:rPr>
          <w:rFonts w:ascii="Calibri" w:eastAsia="Times New Roman" w:hAnsi="Calibri" w:cstheme="minorHAnsi"/>
          <w:spacing w:val="-2"/>
          <w:sz w:val="20"/>
          <w:szCs w:val="20"/>
        </w:rPr>
        <w:t xml:space="preserve"> </w:t>
      </w:r>
    </w:p>
    <w:p w14:paraId="60CDA086"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154.</w:t>
      </w:r>
      <w:r w:rsidRPr="00C10BBC">
        <w:rPr>
          <w:rFonts w:ascii="Calibri" w:eastAsia="Times New Roman" w:hAnsi="Calibri" w:cstheme="minorHAnsi"/>
          <w:spacing w:val="-2"/>
          <w:sz w:val="20"/>
          <w:szCs w:val="20"/>
        </w:rPr>
        <w:tab/>
      </w:r>
      <w:bookmarkStart w:id="311" w:name="b154"/>
      <w:bookmarkStart w:id="312" w:name="idm1168422032"/>
      <w:bookmarkEnd w:id="311"/>
      <w:bookmarkEnd w:id="312"/>
      <w:r w:rsidRPr="00C10BBC">
        <w:rPr>
          <w:rFonts w:ascii="Calibri" w:eastAsia="Times New Roman" w:hAnsi="Calibri" w:cstheme="minorHAnsi"/>
          <w:spacing w:val="-2"/>
          <w:sz w:val="20"/>
          <w:szCs w:val="20"/>
        </w:rPr>
        <w:t xml:space="preserve">Suffee N, Hlawaty H, Meddahi-Pelle A, Maillard L, Louedec L, Haddad O, Martin L, Laguillier C, Richard B, Oudar O, Letourneur D, Charnaux N, Sutton A. RANTES/CCL5-induced pro-angiogenic effects depend on CCR1, CCR5 and glycosaminoglycans. Angiogenesis. 2012; 15:727-44. </w:t>
      </w:r>
    </w:p>
    <w:p w14:paraId="4B942E23"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313" w:tgtFrame="_blank" w:history="1">
        <w:r w:rsidRPr="00C10BBC">
          <w:rPr>
            <w:rFonts w:ascii="Calibri" w:eastAsia="Times New Roman" w:hAnsi="Calibri" w:cstheme="minorHAnsi"/>
            <w:color w:val="0000FF"/>
            <w:spacing w:val="-2"/>
            <w:sz w:val="20"/>
            <w:szCs w:val="20"/>
            <w:u w:val="single"/>
          </w:rPr>
          <w:t>https://doi.org/10.1007/s10456-012-9285-x</w:t>
        </w:r>
      </w:hyperlink>
      <w:r w:rsidRPr="00C10BBC">
        <w:rPr>
          <w:rFonts w:ascii="Calibri" w:eastAsia="Times New Roman" w:hAnsi="Calibri" w:cstheme="minorHAnsi"/>
          <w:spacing w:val="-2"/>
          <w:sz w:val="20"/>
          <w:szCs w:val="20"/>
        </w:rPr>
        <w:t xml:space="preserve"> </w:t>
      </w:r>
    </w:p>
    <w:p w14:paraId="0EBADF6B"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314"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22752444</w:t>
        </w:r>
      </w:hyperlink>
      <w:r w:rsidRPr="00C10BBC">
        <w:rPr>
          <w:rFonts w:ascii="Calibri" w:eastAsia="Times New Roman" w:hAnsi="Calibri" w:cstheme="minorHAnsi"/>
          <w:spacing w:val="-2"/>
          <w:sz w:val="20"/>
          <w:szCs w:val="20"/>
        </w:rPr>
        <w:t xml:space="preserve"> </w:t>
      </w:r>
    </w:p>
    <w:p w14:paraId="3219B229"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155.</w:t>
      </w:r>
      <w:r w:rsidRPr="00C10BBC">
        <w:rPr>
          <w:rFonts w:ascii="Calibri" w:eastAsia="Times New Roman" w:hAnsi="Calibri" w:cstheme="minorHAnsi"/>
          <w:spacing w:val="-2"/>
          <w:sz w:val="20"/>
          <w:szCs w:val="20"/>
        </w:rPr>
        <w:tab/>
      </w:r>
      <w:bookmarkStart w:id="313" w:name="b155"/>
      <w:bookmarkStart w:id="314" w:name="idm1168387536"/>
      <w:bookmarkEnd w:id="313"/>
      <w:bookmarkEnd w:id="314"/>
      <w:r w:rsidRPr="00C10BBC">
        <w:rPr>
          <w:rFonts w:ascii="Calibri" w:eastAsia="Times New Roman" w:hAnsi="Calibri" w:cstheme="minorHAnsi"/>
          <w:spacing w:val="-2"/>
          <w:sz w:val="20"/>
          <w:szCs w:val="20"/>
        </w:rPr>
        <w:t xml:space="preserve">Chistiakov DA, Orekhov AN, Bobryshev YV. The role of miR-126 in embryonic angiogenesis, adult vascular homeostasis, and vascular repair and its alterations in atherosclerotic disease. J Mol Cell Cardiol. 2016; 97:47-55. </w:t>
      </w:r>
    </w:p>
    <w:p w14:paraId="1ED4A1C4"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315" w:tgtFrame="_blank" w:history="1">
        <w:r w:rsidRPr="00C10BBC">
          <w:rPr>
            <w:rFonts w:ascii="Calibri" w:eastAsia="Times New Roman" w:hAnsi="Calibri" w:cstheme="minorHAnsi"/>
            <w:color w:val="0000FF"/>
            <w:spacing w:val="-2"/>
            <w:sz w:val="20"/>
            <w:szCs w:val="20"/>
            <w:u w:val="single"/>
          </w:rPr>
          <w:t>https://doi.org/10.1016/j.yjmcc.2016.05.007</w:t>
        </w:r>
      </w:hyperlink>
      <w:r w:rsidRPr="00C10BBC">
        <w:rPr>
          <w:rFonts w:ascii="Calibri" w:eastAsia="Times New Roman" w:hAnsi="Calibri" w:cstheme="minorHAnsi"/>
          <w:spacing w:val="-2"/>
          <w:sz w:val="20"/>
          <w:szCs w:val="20"/>
        </w:rPr>
        <w:t xml:space="preserve"> </w:t>
      </w:r>
    </w:p>
    <w:p w14:paraId="5E4EB1FF"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316"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27180261</w:t>
        </w:r>
      </w:hyperlink>
      <w:r w:rsidRPr="00C10BBC">
        <w:rPr>
          <w:rFonts w:ascii="Calibri" w:eastAsia="Times New Roman" w:hAnsi="Calibri" w:cstheme="minorHAnsi"/>
          <w:spacing w:val="-2"/>
          <w:sz w:val="20"/>
          <w:szCs w:val="20"/>
        </w:rPr>
        <w:t xml:space="preserve"> </w:t>
      </w:r>
    </w:p>
    <w:p w14:paraId="0C0F5CA8"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156.</w:t>
      </w:r>
      <w:r w:rsidRPr="00C10BBC">
        <w:rPr>
          <w:rFonts w:ascii="Calibri" w:eastAsia="Times New Roman" w:hAnsi="Calibri" w:cstheme="minorHAnsi"/>
          <w:spacing w:val="-2"/>
          <w:sz w:val="20"/>
          <w:szCs w:val="20"/>
        </w:rPr>
        <w:tab/>
      </w:r>
      <w:bookmarkStart w:id="315" w:name="b156"/>
      <w:bookmarkStart w:id="316" w:name="idm1168373120"/>
      <w:bookmarkEnd w:id="315"/>
      <w:bookmarkEnd w:id="316"/>
      <w:r w:rsidRPr="00C10BBC">
        <w:rPr>
          <w:rFonts w:ascii="Calibri" w:eastAsia="Times New Roman" w:hAnsi="Calibri" w:cstheme="minorHAnsi"/>
          <w:spacing w:val="-2"/>
          <w:sz w:val="20"/>
          <w:szCs w:val="20"/>
        </w:rPr>
        <w:t xml:space="preserve">Sandberg WJ, Halvorsen B, Yndestad A, Smith C, Otterdal K, Brosstad FR, Froland SS, Olofsson PS, Damas JK, Gullestad L, Hansson GK, Oie E, Aukrust P. Inflammatory interaction between LIGHT and proteinase-activated receptor-2 in endothelial cells: potential role in atherogenesis. Circ Res. 2009; 104:60-68. </w:t>
      </w:r>
    </w:p>
    <w:p w14:paraId="4462446A"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317" w:tgtFrame="_blank" w:history="1">
        <w:r w:rsidRPr="00C10BBC">
          <w:rPr>
            <w:rFonts w:ascii="Calibri" w:eastAsia="Times New Roman" w:hAnsi="Calibri" w:cstheme="minorHAnsi"/>
            <w:color w:val="0000FF"/>
            <w:spacing w:val="-2"/>
            <w:sz w:val="20"/>
            <w:szCs w:val="20"/>
            <w:u w:val="single"/>
          </w:rPr>
          <w:t>https://doi.org/10.1161/CIRCRESAHA.108.188078</w:t>
        </w:r>
      </w:hyperlink>
      <w:r w:rsidRPr="00C10BBC">
        <w:rPr>
          <w:rFonts w:ascii="Calibri" w:eastAsia="Times New Roman" w:hAnsi="Calibri" w:cstheme="minorHAnsi"/>
          <w:spacing w:val="-2"/>
          <w:sz w:val="20"/>
          <w:szCs w:val="20"/>
        </w:rPr>
        <w:t xml:space="preserve"> </w:t>
      </w:r>
    </w:p>
    <w:p w14:paraId="08E776DF"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318"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19023130</w:t>
        </w:r>
      </w:hyperlink>
      <w:r w:rsidRPr="00C10BBC">
        <w:rPr>
          <w:rFonts w:ascii="Calibri" w:eastAsia="Times New Roman" w:hAnsi="Calibri" w:cstheme="minorHAnsi"/>
          <w:spacing w:val="-2"/>
          <w:sz w:val="20"/>
          <w:szCs w:val="20"/>
        </w:rPr>
        <w:t xml:space="preserve"> </w:t>
      </w:r>
    </w:p>
    <w:p w14:paraId="32C7ECC1"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157.</w:t>
      </w:r>
      <w:r w:rsidRPr="00C10BBC">
        <w:rPr>
          <w:rFonts w:ascii="Calibri" w:eastAsia="Times New Roman" w:hAnsi="Calibri" w:cstheme="minorHAnsi"/>
          <w:spacing w:val="-2"/>
          <w:sz w:val="20"/>
          <w:szCs w:val="20"/>
        </w:rPr>
        <w:tab/>
      </w:r>
      <w:bookmarkStart w:id="317" w:name="b157"/>
      <w:bookmarkStart w:id="318" w:name="idm1009708960"/>
      <w:bookmarkEnd w:id="317"/>
      <w:bookmarkEnd w:id="318"/>
      <w:r w:rsidRPr="00C10BBC">
        <w:rPr>
          <w:rFonts w:ascii="Calibri" w:eastAsia="Times New Roman" w:hAnsi="Calibri" w:cstheme="minorHAnsi"/>
          <w:spacing w:val="-2"/>
          <w:sz w:val="20"/>
          <w:szCs w:val="20"/>
        </w:rPr>
        <w:t xml:space="preserve">Ramazi S, Heydari-Zarnagh H, Goudarzian M, Khalaj-Kondori M, Bonyadi M. Thromboxane A synthase 1 gene expression and promotor haplotypes are associated with risk of large artery-atherosclerosis stroke in Iranian population. J Cell Biochem. 2019; 120:15222-32. </w:t>
      </w:r>
    </w:p>
    <w:p w14:paraId="3AD2743E"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319" w:tgtFrame="_blank" w:history="1">
        <w:r w:rsidRPr="00C10BBC">
          <w:rPr>
            <w:rFonts w:ascii="Calibri" w:eastAsia="Times New Roman" w:hAnsi="Calibri" w:cstheme="minorHAnsi"/>
            <w:color w:val="0000FF"/>
            <w:spacing w:val="-2"/>
            <w:sz w:val="20"/>
            <w:szCs w:val="20"/>
            <w:u w:val="single"/>
          </w:rPr>
          <w:t>https://doi.org/10.1002/jcb.28787</w:t>
        </w:r>
      </w:hyperlink>
      <w:r w:rsidRPr="00C10BBC">
        <w:rPr>
          <w:rFonts w:ascii="Calibri" w:eastAsia="Times New Roman" w:hAnsi="Calibri" w:cstheme="minorHAnsi"/>
          <w:spacing w:val="-2"/>
          <w:sz w:val="20"/>
          <w:szCs w:val="20"/>
        </w:rPr>
        <w:t xml:space="preserve"> </w:t>
      </w:r>
    </w:p>
    <w:p w14:paraId="36C236FB"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320"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31026093</w:t>
        </w:r>
      </w:hyperlink>
      <w:r w:rsidRPr="00C10BBC">
        <w:rPr>
          <w:rFonts w:ascii="Calibri" w:eastAsia="Times New Roman" w:hAnsi="Calibri" w:cstheme="minorHAnsi"/>
          <w:spacing w:val="-2"/>
          <w:sz w:val="20"/>
          <w:szCs w:val="20"/>
        </w:rPr>
        <w:t xml:space="preserve"> </w:t>
      </w:r>
    </w:p>
    <w:p w14:paraId="53C40776"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158.</w:t>
      </w:r>
      <w:r w:rsidRPr="00C10BBC">
        <w:rPr>
          <w:rFonts w:ascii="Calibri" w:eastAsia="Times New Roman" w:hAnsi="Calibri" w:cstheme="minorHAnsi"/>
          <w:spacing w:val="-2"/>
          <w:sz w:val="20"/>
          <w:szCs w:val="20"/>
        </w:rPr>
        <w:tab/>
      </w:r>
      <w:bookmarkStart w:id="319" w:name="b158"/>
      <w:bookmarkStart w:id="320" w:name="idm1007552544"/>
      <w:bookmarkEnd w:id="319"/>
      <w:bookmarkEnd w:id="320"/>
      <w:r w:rsidRPr="00C10BBC">
        <w:rPr>
          <w:rFonts w:ascii="Calibri" w:eastAsia="Times New Roman" w:hAnsi="Calibri" w:cstheme="minorHAnsi"/>
          <w:spacing w:val="-2"/>
          <w:sz w:val="20"/>
          <w:szCs w:val="20"/>
        </w:rPr>
        <w:t xml:space="preserve">He H, Li R, Choi S, Zhou L, Pavel A, Estrada YD, Krueger JG, Guttman-Yassky E. Increased cardiovascular and atherosclerosis markers in blood of older patients with atopic dermatitis. Ann Allergy Asthma Immunol. 2020; 124:70-78. </w:t>
      </w:r>
    </w:p>
    <w:p w14:paraId="225F1043"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321" w:tgtFrame="_blank" w:history="1">
        <w:r w:rsidRPr="00C10BBC">
          <w:rPr>
            <w:rFonts w:ascii="Calibri" w:eastAsia="Times New Roman" w:hAnsi="Calibri" w:cstheme="minorHAnsi"/>
            <w:color w:val="0000FF"/>
            <w:spacing w:val="-2"/>
            <w:sz w:val="20"/>
            <w:szCs w:val="20"/>
            <w:u w:val="single"/>
          </w:rPr>
          <w:t>https://doi.org/10.1016/j.anai.2019.10.013</w:t>
        </w:r>
      </w:hyperlink>
      <w:r w:rsidRPr="00C10BBC">
        <w:rPr>
          <w:rFonts w:ascii="Calibri" w:eastAsia="Times New Roman" w:hAnsi="Calibri" w:cstheme="minorHAnsi"/>
          <w:spacing w:val="-2"/>
          <w:sz w:val="20"/>
          <w:szCs w:val="20"/>
        </w:rPr>
        <w:t xml:space="preserve"> </w:t>
      </w:r>
    </w:p>
    <w:p w14:paraId="33FF9E60"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322"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31622668</w:t>
        </w:r>
      </w:hyperlink>
      <w:r w:rsidRPr="00C10BBC">
        <w:rPr>
          <w:rFonts w:ascii="Calibri" w:eastAsia="Times New Roman" w:hAnsi="Calibri" w:cstheme="minorHAnsi"/>
          <w:spacing w:val="-2"/>
          <w:sz w:val="20"/>
          <w:szCs w:val="20"/>
        </w:rPr>
        <w:t xml:space="preserve"> </w:t>
      </w:r>
    </w:p>
    <w:p w14:paraId="706BA004"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159.</w:t>
      </w:r>
      <w:r w:rsidRPr="00C10BBC">
        <w:rPr>
          <w:rFonts w:ascii="Calibri" w:eastAsia="Times New Roman" w:hAnsi="Calibri" w:cstheme="minorHAnsi"/>
          <w:spacing w:val="-2"/>
          <w:sz w:val="20"/>
          <w:szCs w:val="20"/>
        </w:rPr>
        <w:tab/>
      </w:r>
      <w:bookmarkStart w:id="321" w:name="b159"/>
      <w:bookmarkStart w:id="322" w:name="idm1150014688"/>
      <w:bookmarkEnd w:id="321"/>
      <w:bookmarkEnd w:id="322"/>
      <w:r w:rsidRPr="00C10BBC">
        <w:rPr>
          <w:rFonts w:ascii="Calibri" w:eastAsia="Times New Roman" w:hAnsi="Calibri" w:cstheme="minorHAnsi"/>
          <w:spacing w:val="-2"/>
          <w:sz w:val="20"/>
          <w:szCs w:val="20"/>
        </w:rPr>
        <w:t xml:space="preserve">Lanuti M, Talamonti E, Maccarrone M, Chiurchiu V. Activation of GPR55 Receptors Exacerbates oxLDL-Induced Lipid Accumulation and Inflammatory Responses, while Reducing Cholesterol Efflux from Human Macrophages. PLoS One. 2015; 10:e0126839. </w:t>
      </w:r>
    </w:p>
    <w:p w14:paraId="6BE69CCE"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323" w:tgtFrame="_blank" w:history="1">
        <w:r w:rsidRPr="00C10BBC">
          <w:rPr>
            <w:rFonts w:ascii="Calibri" w:eastAsia="Times New Roman" w:hAnsi="Calibri" w:cstheme="minorHAnsi"/>
            <w:color w:val="0000FF"/>
            <w:spacing w:val="-2"/>
            <w:sz w:val="20"/>
            <w:szCs w:val="20"/>
            <w:u w:val="single"/>
          </w:rPr>
          <w:t>https://doi.org/10.1371/journal.pone.0126839</w:t>
        </w:r>
      </w:hyperlink>
      <w:r w:rsidRPr="00C10BBC">
        <w:rPr>
          <w:rFonts w:ascii="Calibri" w:eastAsia="Times New Roman" w:hAnsi="Calibri" w:cstheme="minorHAnsi"/>
          <w:spacing w:val="-2"/>
          <w:sz w:val="20"/>
          <w:szCs w:val="20"/>
        </w:rPr>
        <w:t xml:space="preserve"> </w:t>
      </w:r>
    </w:p>
    <w:p w14:paraId="091A857F"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324"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25970609</w:t>
        </w:r>
      </w:hyperlink>
    </w:p>
    <w:p w14:paraId="598019F3"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160.</w:t>
      </w:r>
      <w:r w:rsidRPr="00C10BBC">
        <w:rPr>
          <w:rFonts w:ascii="Calibri" w:eastAsia="Times New Roman" w:hAnsi="Calibri" w:cstheme="minorHAnsi"/>
          <w:spacing w:val="-2"/>
          <w:sz w:val="20"/>
          <w:szCs w:val="20"/>
        </w:rPr>
        <w:tab/>
      </w:r>
      <w:bookmarkStart w:id="323" w:name="b160"/>
      <w:bookmarkStart w:id="324" w:name="idm974903488"/>
      <w:bookmarkEnd w:id="323"/>
      <w:bookmarkEnd w:id="324"/>
      <w:r w:rsidRPr="00C10BBC">
        <w:rPr>
          <w:rFonts w:ascii="Calibri" w:eastAsia="Times New Roman" w:hAnsi="Calibri" w:cstheme="minorHAnsi"/>
          <w:spacing w:val="-2"/>
          <w:sz w:val="20"/>
          <w:szCs w:val="20"/>
        </w:rPr>
        <w:t xml:space="preserve">Wolfrum C, Poy MN, Stoffel M. Apolipoprotein M is required for prebeta-HDL formation and cholesterol efflux to HDL and protects against atherosclerosis. Nat Med. 2005; 11:418-22. </w:t>
      </w:r>
    </w:p>
    <w:p w14:paraId="22705DB0"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325" w:tgtFrame="_blank" w:history="1">
        <w:r w:rsidRPr="00C10BBC">
          <w:rPr>
            <w:rFonts w:ascii="Calibri" w:eastAsia="Times New Roman" w:hAnsi="Calibri" w:cstheme="minorHAnsi"/>
            <w:color w:val="0000FF"/>
            <w:spacing w:val="-2"/>
            <w:sz w:val="20"/>
            <w:szCs w:val="20"/>
            <w:u w:val="single"/>
          </w:rPr>
          <w:t>https://doi.org/10.1038/nm1211</w:t>
        </w:r>
      </w:hyperlink>
      <w:r w:rsidRPr="00C10BBC">
        <w:rPr>
          <w:rFonts w:ascii="Calibri" w:eastAsia="Times New Roman" w:hAnsi="Calibri" w:cstheme="minorHAnsi"/>
          <w:spacing w:val="-2"/>
          <w:sz w:val="20"/>
          <w:szCs w:val="20"/>
        </w:rPr>
        <w:t xml:space="preserve"> </w:t>
      </w:r>
    </w:p>
    <w:p w14:paraId="4BC6FDAE"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326"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15793583</w:t>
        </w:r>
      </w:hyperlink>
      <w:r w:rsidRPr="00C10BBC">
        <w:rPr>
          <w:rFonts w:ascii="Calibri" w:eastAsia="Times New Roman" w:hAnsi="Calibri" w:cstheme="minorHAnsi"/>
          <w:spacing w:val="-2"/>
          <w:sz w:val="20"/>
          <w:szCs w:val="20"/>
        </w:rPr>
        <w:t xml:space="preserve"> </w:t>
      </w:r>
    </w:p>
    <w:p w14:paraId="2BFEE6C3"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161.</w:t>
      </w:r>
      <w:r w:rsidRPr="00C10BBC">
        <w:rPr>
          <w:rFonts w:ascii="Calibri" w:eastAsia="Times New Roman" w:hAnsi="Calibri" w:cstheme="minorHAnsi"/>
          <w:spacing w:val="-2"/>
          <w:sz w:val="20"/>
          <w:szCs w:val="20"/>
        </w:rPr>
        <w:tab/>
      </w:r>
      <w:bookmarkStart w:id="325" w:name="b161"/>
      <w:bookmarkStart w:id="326" w:name="idm1164201152"/>
      <w:bookmarkEnd w:id="325"/>
      <w:bookmarkEnd w:id="326"/>
      <w:r w:rsidRPr="00C10BBC">
        <w:rPr>
          <w:rFonts w:ascii="Calibri" w:eastAsia="Times New Roman" w:hAnsi="Calibri" w:cstheme="minorHAnsi"/>
          <w:spacing w:val="-2"/>
          <w:sz w:val="20"/>
          <w:szCs w:val="20"/>
        </w:rPr>
        <w:t xml:space="preserve">Wang G, Qiu J, Hu J, Tang C, Yin T. Id1: a novel therapeutic target for patients with atherosclerotic plaque rupture. Med Hypotheses. 2011; 76:627-28. </w:t>
      </w:r>
    </w:p>
    <w:p w14:paraId="6CE7858D"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327" w:tgtFrame="_blank" w:history="1">
        <w:r w:rsidRPr="00C10BBC">
          <w:rPr>
            <w:rFonts w:ascii="Calibri" w:eastAsia="Times New Roman" w:hAnsi="Calibri" w:cstheme="minorHAnsi"/>
            <w:color w:val="0000FF"/>
            <w:spacing w:val="-2"/>
            <w:sz w:val="20"/>
            <w:szCs w:val="20"/>
            <w:u w:val="single"/>
          </w:rPr>
          <w:t>https://doi.org/10.1016/j.mehy.2011.01.014</w:t>
        </w:r>
      </w:hyperlink>
      <w:r w:rsidRPr="00C10BBC">
        <w:rPr>
          <w:rFonts w:ascii="Calibri" w:eastAsia="Times New Roman" w:hAnsi="Calibri" w:cstheme="minorHAnsi"/>
          <w:spacing w:val="-2"/>
          <w:sz w:val="20"/>
          <w:szCs w:val="20"/>
        </w:rPr>
        <w:t xml:space="preserve"> </w:t>
      </w:r>
    </w:p>
    <w:p w14:paraId="08FB73B4"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328"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21288647</w:t>
        </w:r>
      </w:hyperlink>
      <w:r w:rsidRPr="00C10BBC">
        <w:rPr>
          <w:rFonts w:ascii="Calibri" w:eastAsia="Times New Roman" w:hAnsi="Calibri" w:cstheme="minorHAnsi"/>
          <w:spacing w:val="-2"/>
          <w:sz w:val="20"/>
          <w:szCs w:val="20"/>
        </w:rPr>
        <w:t xml:space="preserve"> </w:t>
      </w:r>
    </w:p>
    <w:p w14:paraId="31926F12"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162.</w:t>
      </w:r>
      <w:r w:rsidRPr="00C10BBC">
        <w:rPr>
          <w:rFonts w:ascii="Calibri" w:eastAsia="Times New Roman" w:hAnsi="Calibri" w:cstheme="minorHAnsi"/>
          <w:spacing w:val="-2"/>
          <w:sz w:val="20"/>
          <w:szCs w:val="20"/>
        </w:rPr>
        <w:tab/>
      </w:r>
      <w:bookmarkStart w:id="327" w:name="b162"/>
      <w:bookmarkStart w:id="328" w:name="idm1013268624"/>
      <w:bookmarkEnd w:id="327"/>
      <w:bookmarkEnd w:id="328"/>
      <w:r w:rsidRPr="00C10BBC">
        <w:rPr>
          <w:rFonts w:ascii="Calibri" w:eastAsia="Times New Roman" w:hAnsi="Calibri" w:cstheme="minorHAnsi"/>
          <w:spacing w:val="-2"/>
          <w:sz w:val="20"/>
          <w:szCs w:val="20"/>
        </w:rPr>
        <w:t xml:space="preserve">Zhang Y, Zheng L, Xu BM, Tang WH, Ye ZD, Huang C, Ma X, Zhao JJ, Guo FX, Kang CM, Lu JB, Xiu JC, Li P, et al. LncRNA-RP11-714G18.1 suppresses vascular cell migration via directly targeting LRP2BP. Immunol Cell Biol. 2018; 96:175-89. </w:t>
      </w:r>
    </w:p>
    <w:p w14:paraId="59BBE599"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329" w:tgtFrame="_blank" w:history="1">
        <w:r w:rsidRPr="00C10BBC">
          <w:rPr>
            <w:rFonts w:ascii="Calibri" w:eastAsia="Times New Roman" w:hAnsi="Calibri" w:cstheme="minorHAnsi"/>
            <w:color w:val="0000FF"/>
            <w:spacing w:val="-2"/>
            <w:sz w:val="20"/>
            <w:szCs w:val="20"/>
            <w:u w:val="single"/>
          </w:rPr>
          <w:t>https://doi.org/10.1111/imcb.1028</w:t>
        </w:r>
      </w:hyperlink>
      <w:r w:rsidRPr="00C10BBC">
        <w:rPr>
          <w:rFonts w:ascii="Calibri" w:eastAsia="Times New Roman" w:hAnsi="Calibri" w:cstheme="minorHAnsi"/>
          <w:spacing w:val="-2"/>
          <w:sz w:val="20"/>
          <w:szCs w:val="20"/>
        </w:rPr>
        <w:t xml:space="preserve"> </w:t>
      </w:r>
    </w:p>
    <w:p w14:paraId="1863F32E"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330"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29363163</w:t>
        </w:r>
      </w:hyperlink>
      <w:r w:rsidRPr="00C10BBC">
        <w:rPr>
          <w:rFonts w:ascii="Calibri" w:eastAsia="Times New Roman" w:hAnsi="Calibri" w:cstheme="minorHAnsi"/>
          <w:spacing w:val="-2"/>
          <w:sz w:val="20"/>
          <w:szCs w:val="20"/>
        </w:rPr>
        <w:t xml:space="preserve"> </w:t>
      </w:r>
    </w:p>
    <w:p w14:paraId="4D74E1F5"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163.</w:t>
      </w:r>
      <w:r w:rsidRPr="00C10BBC">
        <w:rPr>
          <w:rFonts w:ascii="Calibri" w:eastAsia="Times New Roman" w:hAnsi="Calibri" w:cstheme="minorHAnsi"/>
          <w:spacing w:val="-2"/>
          <w:sz w:val="20"/>
          <w:szCs w:val="20"/>
        </w:rPr>
        <w:tab/>
      </w:r>
      <w:bookmarkStart w:id="329" w:name="b163"/>
      <w:bookmarkStart w:id="330" w:name="idm1167874080"/>
      <w:bookmarkEnd w:id="329"/>
      <w:bookmarkEnd w:id="330"/>
      <w:r w:rsidRPr="00C10BBC">
        <w:rPr>
          <w:rFonts w:ascii="Calibri" w:eastAsia="Times New Roman" w:hAnsi="Calibri" w:cstheme="minorHAnsi"/>
          <w:spacing w:val="-2"/>
          <w:sz w:val="20"/>
          <w:szCs w:val="20"/>
        </w:rPr>
        <w:t xml:space="preserve">Kim YC, Byun S, Seok S, Guo G, Xu HE, Kemper B, Kemper JK. Small Heterodimer Partner and Fibroblast Growth Factor 19 Inhibit Expression of NPC1L1 in Mouse Intestine and Cholesterol Absorption. Gastroenterology. 2019; 156:1052-65. </w:t>
      </w:r>
    </w:p>
    <w:p w14:paraId="180D6154"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331" w:tgtFrame="_blank" w:history="1">
        <w:r w:rsidRPr="00C10BBC">
          <w:rPr>
            <w:rFonts w:ascii="Calibri" w:eastAsia="Times New Roman" w:hAnsi="Calibri" w:cstheme="minorHAnsi"/>
            <w:color w:val="0000FF"/>
            <w:spacing w:val="-2"/>
            <w:sz w:val="20"/>
            <w:szCs w:val="20"/>
            <w:u w:val="single"/>
          </w:rPr>
          <w:t>https://doi.org/10.1053/j.gastro.2018.11.061</w:t>
        </w:r>
      </w:hyperlink>
      <w:r w:rsidRPr="00C10BBC">
        <w:rPr>
          <w:rFonts w:ascii="Calibri" w:eastAsia="Times New Roman" w:hAnsi="Calibri" w:cstheme="minorHAnsi"/>
          <w:spacing w:val="-2"/>
          <w:sz w:val="20"/>
          <w:szCs w:val="20"/>
        </w:rPr>
        <w:t xml:space="preserve"> </w:t>
      </w:r>
    </w:p>
    <w:p w14:paraId="545B8784"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332"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30521806</w:t>
        </w:r>
      </w:hyperlink>
      <w:r w:rsidRPr="00C10BBC">
        <w:rPr>
          <w:rFonts w:ascii="Calibri" w:eastAsia="Times New Roman" w:hAnsi="Calibri" w:cstheme="minorHAnsi"/>
          <w:spacing w:val="-2"/>
          <w:sz w:val="20"/>
          <w:szCs w:val="20"/>
        </w:rPr>
        <w:t xml:space="preserve"> </w:t>
      </w:r>
    </w:p>
    <w:p w14:paraId="566AAF0A"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164.</w:t>
      </w:r>
      <w:r w:rsidRPr="00C10BBC">
        <w:rPr>
          <w:rFonts w:ascii="Calibri" w:eastAsia="Times New Roman" w:hAnsi="Calibri" w:cstheme="minorHAnsi"/>
          <w:spacing w:val="-2"/>
          <w:sz w:val="20"/>
          <w:szCs w:val="20"/>
        </w:rPr>
        <w:tab/>
      </w:r>
      <w:bookmarkStart w:id="331" w:name="b164"/>
      <w:bookmarkStart w:id="332" w:name="idm1160793792"/>
      <w:bookmarkEnd w:id="331"/>
      <w:bookmarkEnd w:id="332"/>
      <w:r w:rsidRPr="00C10BBC">
        <w:rPr>
          <w:rFonts w:ascii="Calibri" w:eastAsia="Times New Roman" w:hAnsi="Calibri" w:cstheme="minorHAnsi"/>
          <w:spacing w:val="-2"/>
          <w:sz w:val="20"/>
          <w:szCs w:val="20"/>
        </w:rPr>
        <w:t xml:space="preserve">Mitrofan CG, Appleby SL, Nash GB, Mallat Z, Chilvers ER, Upton PD, Morrell NW. Bone morphogenetic protein 9 (BMP9) and BMP10 enhance tumor necrosis factor-?-induced monocyte recruitment to the vascular endothelium mainly via activin receptor-like kinase 2. J Biol Chem. 2017; 292:13714-26. </w:t>
      </w:r>
    </w:p>
    <w:p w14:paraId="55C9F58A"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333" w:tgtFrame="_blank" w:history="1">
        <w:r w:rsidRPr="00C10BBC">
          <w:rPr>
            <w:rFonts w:ascii="Calibri" w:eastAsia="Times New Roman" w:hAnsi="Calibri" w:cstheme="minorHAnsi"/>
            <w:color w:val="0000FF"/>
            <w:spacing w:val="-2"/>
            <w:sz w:val="20"/>
            <w:szCs w:val="20"/>
            <w:u w:val="single"/>
          </w:rPr>
          <w:t>https://doi.org/10.1074/jbc.M117.778506</w:t>
        </w:r>
      </w:hyperlink>
      <w:r w:rsidRPr="00C10BBC">
        <w:rPr>
          <w:rFonts w:ascii="Calibri" w:eastAsia="Times New Roman" w:hAnsi="Calibri" w:cstheme="minorHAnsi"/>
          <w:spacing w:val="-2"/>
          <w:sz w:val="20"/>
          <w:szCs w:val="20"/>
        </w:rPr>
        <w:t xml:space="preserve"> </w:t>
      </w:r>
    </w:p>
    <w:p w14:paraId="3FDD7FFB"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334"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28646109</w:t>
        </w:r>
      </w:hyperlink>
      <w:r w:rsidRPr="00C10BBC">
        <w:rPr>
          <w:rFonts w:ascii="Calibri" w:eastAsia="Times New Roman" w:hAnsi="Calibri" w:cstheme="minorHAnsi"/>
          <w:spacing w:val="-2"/>
          <w:sz w:val="20"/>
          <w:szCs w:val="20"/>
        </w:rPr>
        <w:t xml:space="preserve"> </w:t>
      </w:r>
    </w:p>
    <w:p w14:paraId="2F8399A6"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165.</w:t>
      </w:r>
      <w:r w:rsidRPr="00C10BBC">
        <w:rPr>
          <w:rFonts w:ascii="Calibri" w:eastAsia="Times New Roman" w:hAnsi="Calibri" w:cstheme="minorHAnsi"/>
          <w:spacing w:val="-2"/>
          <w:sz w:val="20"/>
          <w:szCs w:val="20"/>
        </w:rPr>
        <w:tab/>
      </w:r>
      <w:bookmarkStart w:id="333" w:name="b165"/>
      <w:bookmarkStart w:id="334" w:name="idm1163318560"/>
      <w:bookmarkEnd w:id="333"/>
      <w:bookmarkEnd w:id="334"/>
      <w:r w:rsidRPr="00C10BBC">
        <w:rPr>
          <w:rFonts w:ascii="Calibri" w:eastAsia="Times New Roman" w:hAnsi="Calibri" w:cstheme="minorHAnsi"/>
          <w:spacing w:val="-2"/>
          <w:sz w:val="20"/>
          <w:szCs w:val="20"/>
        </w:rPr>
        <w:t xml:space="preserve">Holloway JW, Laxton RC, Rose-Zerilli MJ, Holloway JA, Andrews AL, Riaz Z, Wilson SJ, Simpson IA, Ye S. ADAM33 expression in atherosclerotic lesions and relationship of ADAM33 gene variation with atherosclerosis. </w:t>
      </w:r>
      <w:r w:rsidRPr="00C10BBC">
        <w:rPr>
          <w:rFonts w:ascii="Calibri" w:eastAsia="Times New Roman" w:hAnsi="Calibri" w:cstheme="minorHAnsi"/>
          <w:spacing w:val="-2"/>
          <w:sz w:val="20"/>
          <w:szCs w:val="20"/>
          <w:lang w:val="es-ES"/>
        </w:rPr>
        <w:t xml:space="preserve">Atherosclerosis. 2010; 211:224-30. </w:t>
      </w:r>
    </w:p>
    <w:p w14:paraId="66AA4A7F"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335" w:tgtFrame="_blank" w:history="1">
        <w:r w:rsidRPr="00C10BBC">
          <w:rPr>
            <w:rFonts w:ascii="Calibri" w:eastAsia="Times New Roman" w:hAnsi="Calibri" w:cstheme="minorHAnsi"/>
            <w:color w:val="0000FF"/>
            <w:spacing w:val="-2"/>
            <w:sz w:val="20"/>
            <w:szCs w:val="20"/>
            <w:u w:val="single"/>
            <w:lang w:val="es-ES"/>
          </w:rPr>
          <w:t>https://doi.org/10.1016/j.atherosclerosis.2010.02.023</w:t>
        </w:r>
      </w:hyperlink>
      <w:r w:rsidRPr="00C10BBC">
        <w:rPr>
          <w:rFonts w:ascii="Calibri" w:eastAsia="Times New Roman" w:hAnsi="Calibri" w:cstheme="minorHAnsi"/>
          <w:spacing w:val="-2"/>
          <w:sz w:val="20"/>
          <w:szCs w:val="20"/>
          <w:lang w:val="es-ES"/>
        </w:rPr>
        <w:t xml:space="preserve"> </w:t>
      </w:r>
    </w:p>
    <w:p w14:paraId="2DF8D822" w14:textId="77777777" w:rsidR="00615745" w:rsidRPr="00C10BBC" w:rsidRDefault="00615745" w:rsidP="00615745">
      <w:pPr>
        <w:ind w:left="529" w:hangingChars="270" w:hanging="529"/>
        <w:rPr>
          <w:rFonts w:ascii="Calibri" w:eastAsia="Times New Roman" w:hAnsi="Calibri" w:cstheme="minorHAnsi"/>
          <w:spacing w:val="-2"/>
          <w:sz w:val="20"/>
          <w:szCs w:val="20"/>
          <w:lang w:val="es-ES"/>
        </w:rPr>
      </w:pPr>
      <w:r w:rsidRPr="00C10BBC">
        <w:rPr>
          <w:rFonts w:ascii="Calibri" w:hAnsi="Calibri" w:cstheme="minorHAnsi"/>
          <w:spacing w:val="-2"/>
          <w:sz w:val="20"/>
          <w:szCs w:val="20"/>
        </w:rPr>
        <w:tab/>
      </w:r>
      <w:hyperlink r:id="rId336"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lang w:val="es-ES"/>
          </w:rPr>
          <w:t>20227692</w:t>
        </w:r>
      </w:hyperlink>
      <w:r w:rsidRPr="00C10BBC">
        <w:rPr>
          <w:rFonts w:ascii="Calibri" w:eastAsia="Times New Roman" w:hAnsi="Calibri" w:cstheme="minorHAnsi"/>
          <w:spacing w:val="-2"/>
          <w:sz w:val="20"/>
          <w:szCs w:val="20"/>
          <w:lang w:val="es-ES"/>
        </w:rPr>
        <w:t xml:space="preserve"> </w:t>
      </w:r>
    </w:p>
    <w:p w14:paraId="3E885CB4"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lang w:val="es-ES"/>
        </w:rPr>
        <w:t>166.</w:t>
      </w:r>
      <w:r w:rsidRPr="00C10BBC">
        <w:rPr>
          <w:rFonts w:ascii="Calibri" w:eastAsia="Times New Roman" w:hAnsi="Calibri" w:cstheme="minorHAnsi"/>
          <w:spacing w:val="-2"/>
          <w:sz w:val="20"/>
          <w:szCs w:val="20"/>
          <w:lang w:val="es-ES"/>
        </w:rPr>
        <w:tab/>
      </w:r>
      <w:bookmarkStart w:id="335" w:name="b166"/>
      <w:bookmarkStart w:id="336" w:name="idm1147216896"/>
      <w:bookmarkEnd w:id="335"/>
      <w:bookmarkEnd w:id="336"/>
      <w:r w:rsidRPr="00C10BBC">
        <w:rPr>
          <w:rFonts w:ascii="Calibri" w:eastAsia="Times New Roman" w:hAnsi="Calibri" w:cstheme="minorHAnsi"/>
          <w:spacing w:val="-2"/>
          <w:sz w:val="20"/>
          <w:szCs w:val="20"/>
          <w:lang w:val="es-ES"/>
        </w:rPr>
        <w:t xml:space="preserve">de Boer OJ, van der Meer JJ, Teeling P, van der Loos CM, Idu MM, van Maldegem F, Aten J, van der Wal AC. </w:t>
      </w:r>
      <w:r w:rsidRPr="00C10BBC">
        <w:rPr>
          <w:rFonts w:ascii="Calibri" w:eastAsia="Times New Roman" w:hAnsi="Calibri" w:cstheme="minorHAnsi"/>
          <w:spacing w:val="-2"/>
          <w:sz w:val="20"/>
          <w:szCs w:val="20"/>
        </w:rPr>
        <w:t xml:space="preserve">Differential expression of interleukin-17 family cytokines in intact and complicated human atherosclerotic plaques. J Pathol. 2010; 220:499-508. </w:t>
      </w:r>
    </w:p>
    <w:p w14:paraId="105942C1"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337" w:tgtFrame="_blank" w:history="1">
        <w:r w:rsidRPr="00C10BBC">
          <w:rPr>
            <w:rFonts w:ascii="Calibri" w:eastAsia="Times New Roman" w:hAnsi="Calibri" w:cstheme="minorHAnsi"/>
            <w:color w:val="0000FF"/>
            <w:spacing w:val="-2"/>
            <w:sz w:val="20"/>
            <w:szCs w:val="20"/>
            <w:u w:val="single"/>
          </w:rPr>
          <w:t>https://doi.org/10.1002/path.2667</w:t>
        </w:r>
      </w:hyperlink>
      <w:r w:rsidRPr="00C10BBC">
        <w:rPr>
          <w:rFonts w:ascii="Calibri" w:eastAsia="Times New Roman" w:hAnsi="Calibri" w:cstheme="minorHAnsi"/>
          <w:spacing w:val="-2"/>
          <w:sz w:val="20"/>
          <w:szCs w:val="20"/>
        </w:rPr>
        <w:t xml:space="preserve"> </w:t>
      </w:r>
    </w:p>
    <w:p w14:paraId="4B62A607"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338"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20020510</w:t>
        </w:r>
      </w:hyperlink>
      <w:r w:rsidRPr="00C10BBC">
        <w:rPr>
          <w:rFonts w:ascii="Calibri" w:eastAsia="Times New Roman" w:hAnsi="Calibri" w:cstheme="minorHAnsi"/>
          <w:spacing w:val="-2"/>
          <w:sz w:val="20"/>
          <w:szCs w:val="20"/>
        </w:rPr>
        <w:t xml:space="preserve"> </w:t>
      </w:r>
    </w:p>
    <w:p w14:paraId="22883210"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167.</w:t>
      </w:r>
      <w:r w:rsidRPr="00C10BBC">
        <w:rPr>
          <w:rFonts w:ascii="Calibri" w:eastAsia="Times New Roman" w:hAnsi="Calibri" w:cstheme="minorHAnsi"/>
          <w:spacing w:val="-2"/>
          <w:sz w:val="20"/>
          <w:szCs w:val="20"/>
        </w:rPr>
        <w:tab/>
      </w:r>
      <w:bookmarkStart w:id="337" w:name="b167"/>
      <w:bookmarkStart w:id="338" w:name="idm1168328384"/>
      <w:bookmarkEnd w:id="337"/>
      <w:bookmarkEnd w:id="338"/>
      <w:r w:rsidRPr="00C10BBC">
        <w:rPr>
          <w:rFonts w:ascii="Calibri" w:eastAsia="Times New Roman" w:hAnsi="Calibri" w:cstheme="minorHAnsi"/>
          <w:spacing w:val="-2"/>
          <w:sz w:val="20"/>
          <w:szCs w:val="20"/>
        </w:rPr>
        <w:t xml:space="preserve">Esteghamat F, Broughton JS, Smith E, Cardone R, Tyagi T, Guerra M, Szabo A, Ugwu N, Mani MV, Azari B, Kayingo G, Chung S, Fathzadeh M, et al. CELA2A mutations predispose to early-onset atherosclerosis and metabolic syndrome and affect plasma insulin and platelet activation. Nat Genet. 2019; 51:1233-43. </w:t>
      </w:r>
    </w:p>
    <w:p w14:paraId="5DF54948"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339" w:tgtFrame="_blank" w:history="1">
        <w:r w:rsidRPr="00C10BBC">
          <w:rPr>
            <w:rFonts w:ascii="Calibri" w:eastAsia="Times New Roman" w:hAnsi="Calibri" w:cstheme="minorHAnsi"/>
            <w:color w:val="0000FF"/>
            <w:spacing w:val="-2"/>
            <w:sz w:val="20"/>
            <w:szCs w:val="20"/>
            <w:u w:val="single"/>
          </w:rPr>
          <w:t>https://doi.org/10.1038/s41588-019-0470-3</w:t>
        </w:r>
      </w:hyperlink>
      <w:r w:rsidRPr="00C10BBC">
        <w:rPr>
          <w:rFonts w:ascii="Calibri" w:eastAsia="Times New Roman" w:hAnsi="Calibri" w:cstheme="minorHAnsi"/>
          <w:spacing w:val="-2"/>
          <w:sz w:val="20"/>
          <w:szCs w:val="20"/>
        </w:rPr>
        <w:t xml:space="preserve"> </w:t>
      </w:r>
    </w:p>
    <w:p w14:paraId="26093536"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340"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31358993</w:t>
        </w:r>
      </w:hyperlink>
      <w:r w:rsidRPr="00C10BBC">
        <w:rPr>
          <w:rFonts w:ascii="Calibri" w:eastAsia="Times New Roman" w:hAnsi="Calibri" w:cstheme="minorHAnsi"/>
          <w:spacing w:val="-2"/>
          <w:sz w:val="20"/>
          <w:szCs w:val="20"/>
        </w:rPr>
        <w:t xml:space="preserve"> </w:t>
      </w:r>
    </w:p>
    <w:p w14:paraId="4A4B1B3A"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168.</w:t>
      </w:r>
      <w:r w:rsidRPr="00C10BBC">
        <w:rPr>
          <w:rFonts w:ascii="Calibri" w:eastAsia="Times New Roman" w:hAnsi="Calibri" w:cstheme="minorHAnsi"/>
          <w:spacing w:val="-2"/>
          <w:sz w:val="20"/>
          <w:szCs w:val="20"/>
        </w:rPr>
        <w:tab/>
      </w:r>
      <w:bookmarkStart w:id="339" w:name="b168"/>
      <w:bookmarkStart w:id="340" w:name="idm1139018784"/>
      <w:bookmarkEnd w:id="339"/>
      <w:bookmarkEnd w:id="340"/>
      <w:r w:rsidRPr="00C10BBC">
        <w:rPr>
          <w:rFonts w:ascii="Calibri" w:eastAsia="Times New Roman" w:hAnsi="Calibri" w:cstheme="minorHAnsi"/>
          <w:spacing w:val="-2"/>
          <w:sz w:val="20"/>
          <w:szCs w:val="20"/>
        </w:rPr>
        <w:t xml:space="preserve">Wang HH, Afdhal NH, Gendler SJ, Wang DQ. Lack of the intestinal Muc1 mucin impairs cholesterol uptake and absorption but not fatty acid uptake in Muc1-/- mice. Am J Physiol Gastrointest Liver Physiol. 2004; 287:G547-54. </w:t>
      </w:r>
    </w:p>
    <w:p w14:paraId="3E606C44"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341" w:tgtFrame="_blank" w:history="1">
        <w:r w:rsidRPr="00C10BBC">
          <w:rPr>
            <w:rFonts w:ascii="Calibri" w:eastAsia="Times New Roman" w:hAnsi="Calibri" w:cstheme="minorHAnsi"/>
            <w:color w:val="0000FF"/>
            <w:spacing w:val="-2"/>
            <w:sz w:val="20"/>
            <w:szCs w:val="20"/>
            <w:u w:val="single"/>
          </w:rPr>
          <w:t>https://doi.org/10.1152/ajpgi.00097.2004</w:t>
        </w:r>
      </w:hyperlink>
      <w:r w:rsidRPr="00C10BBC">
        <w:rPr>
          <w:rFonts w:ascii="Calibri" w:eastAsia="Times New Roman" w:hAnsi="Calibri" w:cstheme="minorHAnsi"/>
          <w:spacing w:val="-2"/>
          <w:sz w:val="20"/>
          <w:szCs w:val="20"/>
        </w:rPr>
        <w:t xml:space="preserve"> </w:t>
      </w:r>
    </w:p>
    <w:p w14:paraId="142651A2"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342"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15075252</w:t>
        </w:r>
      </w:hyperlink>
      <w:r w:rsidRPr="00C10BBC">
        <w:rPr>
          <w:rFonts w:ascii="Calibri" w:eastAsia="Times New Roman" w:hAnsi="Calibri" w:cstheme="minorHAnsi"/>
          <w:spacing w:val="-2"/>
          <w:sz w:val="20"/>
          <w:szCs w:val="20"/>
        </w:rPr>
        <w:t xml:space="preserve"> </w:t>
      </w:r>
    </w:p>
    <w:p w14:paraId="1D168108"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169.</w:t>
      </w:r>
      <w:r w:rsidRPr="00C10BBC">
        <w:rPr>
          <w:rFonts w:ascii="Calibri" w:eastAsia="Times New Roman" w:hAnsi="Calibri" w:cstheme="minorHAnsi"/>
          <w:spacing w:val="-2"/>
          <w:sz w:val="20"/>
          <w:szCs w:val="20"/>
        </w:rPr>
        <w:tab/>
      </w:r>
      <w:bookmarkStart w:id="341" w:name="b169"/>
      <w:bookmarkStart w:id="342" w:name="idm1008633472"/>
      <w:bookmarkEnd w:id="341"/>
      <w:bookmarkEnd w:id="342"/>
      <w:r w:rsidRPr="00C10BBC">
        <w:rPr>
          <w:rFonts w:ascii="Calibri" w:eastAsia="Times New Roman" w:hAnsi="Calibri" w:cstheme="minorHAnsi"/>
          <w:spacing w:val="-2"/>
          <w:sz w:val="20"/>
          <w:szCs w:val="20"/>
        </w:rPr>
        <w:t xml:space="preserve">Pourcet B, Feig JE, Vengrenyuk Y, Hobbs AJ, Kepka-Lenhart D, Garabedian MJ, Morris SM Jr, Fisher EA, Pineda-Torra I. LXR? regulates macrophage arginase 1 through PU.1 and interferon regulatory factor 8. Circ Res. 2011; 109:492-501. </w:t>
      </w:r>
    </w:p>
    <w:p w14:paraId="0360C6D5"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343" w:tgtFrame="_blank" w:history="1">
        <w:r w:rsidRPr="00C10BBC">
          <w:rPr>
            <w:rFonts w:ascii="Calibri" w:eastAsia="Times New Roman" w:hAnsi="Calibri" w:cstheme="minorHAnsi"/>
            <w:color w:val="0000FF"/>
            <w:spacing w:val="-2"/>
            <w:sz w:val="20"/>
            <w:szCs w:val="20"/>
            <w:u w:val="single"/>
          </w:rPr>
          <w:t>https://doi.org/10.1161/CIRCRESAHA.111.241810</w:t>
        </w:r>
      </w:hyperlink>
      <w:r w:rsidRPr="00C10BBC">
        <w:rPr>
          <w:rFonts w:ascii="Calibri" w:eastAsia="Times New Roman" w:hAnsi="Calibri" w:cstheme="minorHAnsi"/>
          <w:spacing w:val="-2"/>
          <w:sz w:val="20"/>
          <w:szCs w:val="20"/>
        </w:rPr>
        <w:t xml:space="preserve"> </w:t>
      </w:r>
    </w:p>
    <w:p w14:paraId="32B89253"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344"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21757649</w:t>
        </w:r>
      </w:hyperlink>
      <w:r w:rsidRPr="00C10BBC">
        <w:rPr>
          <w:rFonts w:ascii="Calibri" w:eastAsia="Times New Roman" w:hAnsi="Calibri" w:cstheme="minorHAnsi"/>
          <w:spacing w:val="-2"/>
          <w:sz w:val="20"/>
          <w:szCs w:val="20"/>
        </w:rPr>
        <w:t xml:space="preserve"> </w:t>
      </w:r>
    </w:p>
    <w:p w14:paraId="6DD255CA" w14:textId="77777777" w:rsidR="00615745" w:rsidRDefault="00615745" w:rsidP="00615745">
      <w:pPr>
        <w:ind w:left="529" w:hangingChars="270" w:hanging="529"/>
        <w:rPr>
          <w:rFonts w:ascii="Calibri" w:eastAsia="Times New Roman" w:hAnsi="Calibri" w:cstheme="minorHAnsi"/>
          <w:spacing w:val="-2"/>
          <w:sz w:val="20"/>
          <w:szCs w:val="20"/>
          <w:u w:val="single"/>
        </w:rPr>
      </w:pPr>
      <w:r w:rsidRPr="00C10BBC">
        <w:rPr>
          <w:rFonts w:ascii="Calibri" w:eastAsia="Times New Roman" w:hAnsi="Calibri" w:cstheme="minorHAnsi"/>
          <w:spacing w:val="-2"/>
          <w:sz w:val="20"/>
          <w:szCs w:val="20"/>
        </w:rPr>
        <w:t>170.</w:t>
      </w:r>
      <w:r w:rsidRPr="00C10BBC">
        <w:rPr>
          <w:rFonts w:ascii="Calibri" w:eastAsia="Times New Roman" w:hAnsi="Calibri" w:cstheme="minorHAnsi"/>
          <w:spacing w:val="-2"/>
          <w:sz w:val="20"/>
          <w:szCs w:val="20"/>
        </w:rPr>
        <w:tab/>
      </w:r>
      <w:bookmarkStart w:id="343" w:name="b170"/>
      <w:bookmarkStart w:id="344" w:name="idm997022304"/>
      <w:bookmarkEnd w:id="343"/>
      <w:bookmarkEnd w:id="344"/>
      <w:r w:rsidRPr="00C10BBC">
        <w:rPr>
          <w:rFonts w:ascii="Calibri" w:eastAsia="Times New Roman" w:hAnsi="Calibri" w:cstheme="minorHAnsi"/>
          <w:spacing w:val="-2"/>
          <w:sz w:val="20"/>
          <w:szCs w:val="20"/>
        </w:rPr>
        <w:t>Turkanoglu Ozcelik A, Can Demirdogen B, Demirkaya S, Adali O. Association of cytochrome P4502E1 and NAD(P)H:quinone oxidoreductase 1 genetic polymorphisms with susceptibility to large artery atherosclerotic ischemic stroke: a case-control study in the Turkish population. Neurol Sci. 2017; 38:1077-1085.</w:t>
      </w:r>
    </w:p>
    <w:p w14:paraId="393205D8" w14:textId="77777777" w:rsidR="00615745" w:rsidRPr="00C10BBC" w:rsidRDefault="00615745" w:rsidP="00615745">
      <w:pPr>
        <w:ind w:left="535"/>
        <w:rPr>
          <w:rFonts w:ascii="Calibri" w:eastAsia="Times New Roman" w:hAnsi="Calibri" w:cstheme="minorHAnsi"/>
          <w:spacing w:val="-2"/>
          <w:sz w:val="20"/>
          <w:szCs w:val="20"/>
        </w:rPr>
      </w:pPr>
      <w:hyperlink r:id="rId345" w:history="1">
        <w:r w:rsidRPr="00F6140E">
          <w:rPr>
            <w:rStyle w:val="Hyperlink"/>
            <w:rFonts w:ascii="Calibri" w:eastAsia="Times New Roman" w:hAnsi="Calibri" w:cstheme="minorHAnsi"/>
            <w:spacing w:val="-2"/>
            <w:sz w:val="20"/>
            <w:szCs w:val="20"/>
          </w:rPr>
          <w:t>https://doi.org/10.1007/s10072-017-2930-9</w:t>
        </w:r>
      </w:hyperlink>
      <w:r w:rsidRPr="00C10BBC">
        <w:rPr>
          <w:rFonts w:ascii="Calibri" w:eastAsia="Times New Roman" w:hAnsi="Calibri" w:cstheme="minorHAnsi"/>
          <w:spacing w:val="-2"/>
          <w:sz w:val="20"/>
          <w:szCs w:val="20"/>
        </w:rPr>
        <w:t xml:space="preserve"> PMID:</w:t>
      </w:r>
      <w:hyperlink r:id="rId346" w:history="1">
        <w:r w:rsidRPr="009E6105">
          <w:rPr>
            <w:rStyle w:val="Hyperlink"/>
            <w:rFonts w:ascii="Calibri" w:eastAsia="Times New Roman" w:hAnsi="Calibri" w:cstheme="minorHAnsi"/>
            <w:spacing w:val="-2"/>
            <w:sz w:val="20"/>
            <w:szCs w:val="20"/>
          </w:rPr>
          <w:t>28357584</w:t>
        </w:r>
      </w:hyperlink>
    </w:p>
    <w:p w14:paraId="4F16F2AE"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171.</w:t>
      </w:r>
      <w:r w:rsidRPr="00C10BBC">
        <w:rPr>
          <w:rFonts w:ascii="Calibri" w:eastAsia="Times New Roman" w:hAnsi="Calibri" w:cstheme="minorHAnsi"/>
          <w:spacing w:val="-2"/>
          <w:sz w:val="20"/>
          <w:szCs w:val="20"/>
        </w:rPr>
        <w:tab/>
      </w:r>
      <w:bookmarkStart w:id="345" w:name="b171"/>
      <w:bookmarkStart w:id="346" w:name="idm1159160464"/>
      <w:bookmarkEnd w:id="345"/>
      <w:bookmarkEnd w:id="346"/>
      <w:r w:rsidRPr="00C10BBC">
        <w:rPr>
          <w:rFonts w:ascii="Calibri" w:eastAsia="Times New Roman" w:hAnsi="Calibri" w:cstheme="minorHAnsi"/>
          <w:spacing w:val="-2"/>
          <w:sz w:val="20"/>
          <w:szCs w:val="20"/>
        </w:rPr>
        <w:t>Meletta R, Slavik R, Mu L, Rancic Z, Borel N, Schibli R, Ametamey SM, Kramer SD, Muller Herde A. Cannabinoid receptor type 2 (CB2) as one of the candidate genes in human carotid plaque imaging: evaluation of the novel radiotracer [</w:t>
      </w:r>
      <w:r w:rsidRPr="00C10BBC">
        <w:rPr>
          <w:rFonts w:ascii="Calibri" w:eastAsia="Times New Roman" w:hAnsi="Calibri" w:cstheme="minorHAnsi"/>
          <w:spacing w:val="-2"/>
          <w:sz w:val="20"/>
          <w:szCs w:val="20"/>
          <w:vertAlign w:val="superscript"/>
        </w:rPr>
        <w:t>11</w:t>
      </w:r>
      <w:r w:rsidRPr="00C10BBC">
        <w:rPr>
          <w:rFonts w:ascii="Calibri" w:eastAsia="Times New Roman" w:hAnsi="Calibri" w:cstheme="minorHAnsi"/>
          <w:spacing w:val="-2"/>
          <w:sz w:val="20"/>
          <w:szCs w:val="20"/>
        </w:rPr>
        <w:t xml:space="preserve">C]RS-016 targeting CB2 in atherosclerosis. Nucl Med Biol. 2017; 47:31-43. </w:t>
      </w:r>
    </w:p>
    <w:p w14:paraId="3E68D46E"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347" w:tgtFrame="_blank" w:history="1">
        <w:r w:rsidRPr="00C10BBC">
          <w:rPr>
            <w:rFonts w:ascii="Calibri" w:eastAsia="Times New Roman" w:hAnsi="Calibri" w:cstheme="minorHAnsi"/>
            <w:color w:val="0000FF"/>
            <w:spacing w:val="-2"/>
            <w:sz w:val="20"/>
            <w:szCs w:val="20"/>
            <w:u w:val="single"/>
          </w:rPr>
          <w:t>https://doi.org/10.1016/j.nucmedbio.2017.01.001</w:t>
        </w:r>
      </w:hyperlink>
      <w:r w:rsidRPr="00C10BBC">
        <w:rPr>
          <w:rFonts w:ascii="Calibri" w:eastAsia="Times New Roman" w:hAnsi="Calibri" w:cstheme="minorHAnsi"/>
          <w:spacing w:val="-2"/>
          <w:sz w:val="20"/>
          <w:szCs w:val="20"/>
        </w:rPr>
        <w:t xml:space="preserve"> </w:t>
      </w:r>
    </w:p>
    <w:p w14:paraId="56AA43EB"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348"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28104528</w:t>
        </w:r>
      </w:hyperlink>
      <w:r w:rsidRPr="00C10BBC">
        <w:rPr>
          <w:rFonts w:ascii="Calibri" w:eastAsia="Times New Roman" w:hAnsi="Calibri" w:cstheme="minorHAnsi"/>
          <w:spacing w:val="-2"/>
          <w:sz w:val="20"/>
          <w:szCs w:val="20"/>
        </w:rPr>
        <w:t xml:space="preserve"> </w:t>
      </w:r>
    </w:p>
    <w:p w14:paraId="5CFC84E8"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172.</w:t>
      </w:r>
      <w:r w:rsidRPr="00C10BBC">
        <w:rPr>
          <w:rFonts w:ascii="Calibri" w:eastAsia="Times New Roman" w:hAnsi="Calibri" w:cstheme="minorHAnsi"/>
          <w:spacing w:val="-2"/>
          <w:sz w:val="20"/>
          <w:szCs w:val="20"/>
        </w:rPr>
        <w:tab/>
      </w:r>
      <w:bookmarkStart w:id="347" w:name="b172"/>
      <w:bookmarkStart w:id="348" w:name="idm1166505424"/>
      <w:bookmarkEnd w:id="347"/>
      <w:bookmarkEnd w:id="348"/>
      <w:r w:rsidRPr="00C10BBC">
        <w:rPr>
          <w:rFonts w:ascii="Calibri" w:eastAsia="Times New Roman" w:hAnsi="Calibri" w:cstheme="minorHAnsi"/>
          <w:spacing w:val="-2"/>
          <w:sz w:val="20"/>
          <w:szCs w:val="20"/>
        </w:rPr>
        <w:t xml:space="preserve">Douna H, Amersfoort J, Schaftenaar FH, Kroner MJ, Kiss MG, Slutter B, Depuydt MA, Bernabe Kleijn MN, Wezel A, Smeets HJ, Yagita H, Binder CJ, Bot I, et al. B- and T-lymphocyte attenuator stimulation protects against atherosclerosis by regulating follicular B cells. Cardiovasc Res. 2020; 116:295-305. </w:t>
      </w:r>
    </w:p>
    <w:p w14:paraId="5E839FC1"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349" w:tgtFrame="_blank" w:history="1">
        <w:r w:rsidRPr="00C10BBC">
          <w:rPr>
            <w:rFonts w:ascii="Calibri" w:eastAsia="Times New Roman" w:hAnsi="Calibri" w:cstheme="minorHAnsi"/>
            <w:color w:val="0000FF"/>
            <w:spacing w:val="-2"/>
            <w:sz w:val="20"/>
            <w:szCs w:val="20"/>
            <w:u w:val="single"/>
          </w:rPr>
          <w:t>https://doi.org/10.1093/cvr/cvz129</w:t>
        </w:r>
      </w:hyperlink>
      <w:r w:rsidRPr="00C10BBC">
        <w:rPr>
          <w:rFonts w:ascii="Calibri" w:eastAsia="Times New Roman" w:hAnsi="Calibri" w:cstheme="minorHAnsi"/>
          <w:spacing w:val="-2"/>
          <w:sz w:val="20"/>
          <w:szCs w:val="20"/>
        </w:rPr>
        <w:t xml:space="preserve"> </w:t>
      </w:r>
    </w:p>
    <w:p w14:paraId="7A94A965"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350"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31150053</w:t>
        </w:r>
      </w:hyperlink>
      <w:r w:rsidRPr="00C10BBC">
        <w:rPr>
          <w:rFonts w:ascii="Calibri" w:eastAsia="Times New Roman" w:hAnsi="Calibri" w:cstheme="minorHAnsi"/>
          <w:spacing w:val="-2"/>
          <w:sz w:val="20"/>
          <w:szCs w:val="20"/>
        </w:rPr>
        <w:t xml:space="preserve"> </w:t>
      </w:r>
    </w:p>
    <w:p w14:paraId="34337251"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173.</w:t>
      </w:r>
      <w:r w:rsidRPr="00C10BBC">
        <w:rPr>
          <w:rFonts w:ascii="Calibri" w:eastAsia="Times New Roman" w:hAnsi="Calibri" w:cstheme="minorHAnsi"/>
          <w:spacing w:val="-2"/>
          <w:sz w:val="20"/>
          <w:szCs w:val="20"/>
        </w:rPr>
        <w:tab/>
      </w:r>
      <w:bookmarkStart w:id="349" w:name="b173"/>
      <w:bookmarkStart w:id="350" w:name="idm1150290336"/>
      <w:bookmarkEnd w:id="349"/>
      <w:bookmarkEnd w:id="350"/>
      <w:r w:rsidRPr="00C10BBC">
        <w:rPr>
          <w:rFonts w:ascii="Calibri" w:eastAsia="Times New Roman" w:hAnsi="Calibri" w:cstheme="minorHAnsi"/>
          <w:spacing w:val="-2"/>
          <w:sz w:val="20"/>
          <w:szCs w:val="20"/>
        </w:rPr>
        <w:t xml:space="preserve">Gomez M, Sanz-Gonzalez SM, Abu Nabah YN, Lamana A, Sanchez-Madrid F, Andres V. Atherosclerosis development in apolipoprotein E-null mice deficient for CD69. Cardiovasc Res. 2009; 81:197-205. </w:t>
      </w:r>
    </w:p>
    <w:p w14:paraId="34B5532F"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351" w:tgtFrame="_blank" w:history="1">
        <w:r w:rsidRPr="00C10BBC">
          <w:rPr>
            <w:rFonts w:ascii="Calibri" w:eastAsia="Times New Roman" w:hAnsi="Calibri" w:cstheme="minorHAnsi"/>
            <w:color w:val="0000FF"/>
            <w:spacing w:val="-2"/>
            <w:sz w:val="20"/>
            <w:szCs w:val="20"/>
            <w:u w:val="single"/>
          </w:rPr>
          <w:t>https://doi.org/10.1093/cvr/cvn227</w:t>
        </w:r>
      </w:hyperlink>
      <w:r w:rsidRPr="00C10BBC">
        <w:rPr>
          <w:rFonts w:ascii="Calibri" w:eastAsia="Times New Roman" w:hAnsi="Calibri" w:cstheme="minorHAnsi"/>
          <w:spacing w:val="-2"/>
          <w:sz w:val="20"/>
          <w:szCs w:val="20"/>
        </w:rPr>
        <w:t xml:space="preserve"> </w:t>
      </w:r>
    </w:p>
    <w:p w14:paraId="2B451009"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352"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18703531</w:t>
        </w:r>
      </w:hyperlink>
      <w:r w:rsidRPr="00C10BBC">
        <w:rPr>
          <w:rFonts w:ascii="Calibri" w:eastAsia="Times New Roman" w:hAnsi="Calibri" w:cstheme="minorHAnsi"/>
          <w:spacing w:val="-2"/>
          <w:sz w:val="20"/>
          <w:szCs w:val="20"/>
        </w:rPr>
        <w:t xml:space="preserve"> </w:t>
      </w:r>
    </w:p>
    <w:p w14:paraId="1384FA92"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174.</w:t>
      </w:r>
      <w:r w:rsidRPr="00C10BBC">
        <w:rPr>
          <w:rFonts w:ascii="Calibri" w:eastAsia="Times New Roman" w:hAnsi="Calibri" w:cstheme="minorHAnsi"/>
          <w:spacing w:val="-2"/>
          <w:sz w:val="20"/>
          <w:szCs w:val="20"/>
        </w:rPr>
        <w:tab/>
      </w:r>
      <w:bookmarkStart w:id="351" w:name="b174"/>
      <w:bookmarkStart w:id="352" w:name="idm1153190608"/>
      <w:bookmarkEnd w:id="351"/>
      <w:bookmarkEnd w:id="352"/>
      <w:r w:rsidRPr="00C10BBC">
        <w:rPr>
          <w:rFonts w:ascii="Calibri" w:eastAsia="Times New Roman" w:hAnsi="Calibri" w:cstheme="minorHAnsi"/>
          <w:spacing w:val="-2"/>
          <w:sz w:val="20"/>
          <w:szCs w:val="20"/>
        </w:rPr>
        <w:t xml:space="preserve">Decharatchakul N, Settasatian C, Settasatian N, Komanasin N, Kukongviriyapan U, Intharaphet P, Senthong V. Association of genetic polymorphisms in </w:t>
      </w:r>
      <w:r w:rsidRPr="00C10BBC">
        <w:rPr>
          <w:rFonts w:ascii="Calibri" w:eastAsia="Times New Roman" w:hAnsi="Calibri" w:cstheme="minorHAnsi"/>
          <w:i/>
          <w:iCs/>
          <w:spacing w:val="-2"/>
          <w:sz w:val="20"/>
          <w:szCs w:val="20"/>
        </w:rPr>
        <w:t>SOD2</w:t>
      </w:r>
      <w:r w:rsidRPr="00C10BBC">
        <w:rPr>
          <w:rFonts w:ascii="Calibri" w:eastAsia="Times New Roman" w:hAnsi="Calibri" w:cstheme="minorHAnsi"/>
          <w:spacing w:val="-2"/>
          <w:sz w:val="20"/>
          <w:szCs w:val="20"/>
        </w:rPr>
        <w:t xml:space="preserve">, </w:t>
      </w:r>
      <w:r w:rsidRPr="00C10BBC">
        <w:rPr>
          <w:rFonts w:ascii="Calibri" w:eastAsia="Times New Roman" w:hAnsi="Calibri" w:cstheme="minorHAnsi"/>
          <w:i/>
          <w:iCs/>
          <w:spacing w:val="-2"/>
          <w:sz w:val="20"/>
          <w:szCs w:val="20"/>
        </w:rPr>
        <w:t>SOD3</w:t>
      </w:r>
      <w:r w:rsidRPr="00C10BBC">
        <w:rPr>
          <w:rFonts w:ascii="Calibri" w:eastAsia="Times New Roman" w:hAnsi="Calibri" w:cstheme="minorHAnsi"/>
          <w:spacing w:val="-2"/>
          <w:sz w:val="20"/>
          <w:szCs w:val="20"/>
        </w:rPr>
        <w:t xml:space="preserve">, </w:t>
      </w:r>
      <w:r w:rsidRPr="00C10BBC">
        <w:rPr>
          <w:rFonts w:ascii="Calibri" w:eastAsia="Times New Roman" w:hAnsi="Calibri" w:cstheme="minorHAnsi"/>
          <w:i/>
          <w:iCs/>
          <w:spacing w:val="-2"/>
          <w:sz w:val="20"/>
          <w:szCs w:val="20"/>
        </w:rPr>
        <w:t>GPX3</w:t>
      </w:r>
      <w:r w:rsidRPr="00C10BBC">
        <w:rPr>
          <w:rFonts w:ascii="Calibri" w:eastAsia="Times New Roman" w:hAnsi="Calibri" w:cstheme="minorHAnsi"/>
          <w:spacing w:val="-2"/>
          <w:sz w:val="20"/>
          <w:szCs w:val="20"/>
        </w:rPr>
        <w:t xml:space="preserve">, and </w:t>
      </w:r>
      <w:r w:rsidRPr="00C10BBC">
        <w:rPr>
          <w:rFonts w:ascii="Calibri" w:eastAsia="Times New Roman" w:hAnsi="Calibri" w:cstheme="minorHAnsi"/>
          <w:i/>
          <w:iCs/>
          <w:spacing w:val="-2"/>
          <w:sz w:val="20"/>
          <w:szCs w:val="20"/>
        </w:rPr>
        <w:t>GSTT1</w:t>
      </w:r>
      <w:r w:rsidRPr="00C10BBC">
        <w:rPr>
          <w:rFonts w:ascii="Calibri" w:eastAsia="Times New Roman" w:hAnsi="Calibri" w:cstheme="minorHAnsi"/>
          <w:spacing w:val="-2"/>
          <w:sz w:val="20"/>
          <w:szCs w:val="20"/>
        </w:rPr>
        <w:t xml:space="preserve"> with hypertriglyceridemia and low HDL-C level in subjects with high risk of coronary artery disease. PeerJ. 2019; 7:e7407. </w:t>
      </w:r>
    </w:p>
    <w:p w14:paraId="6F8D6996"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353" w:tgtFrame="_blank" w:history="1">
        <w:r w:rsidRPr="00C10BBC">
          <w:rPr>
            <w:rFonts w:ascii="Calibri" w:eastAsia="Times New Roman" w:hAnsi="Calibri" w:cstheme="minorHAnsi"/>
            <w:color w:val="0000FF"/>
            <w:spacing w:val="-2"/>
            <w:sz w:val="20"/>
            <w:szCs w:val="20"/>
            <w:u w:val="single"/>
          </w:rPr>
          <w:t>https://doi.org/10.7717/peerj.7407</w:t>
        </w:r>
      </w:hyperlink>
      <w:r w:rsidRPr="00C10BBC">
        <w:rPr>
          <w:rFonts w:ascii="Calibri" w:eastAsia="Times New Roman" w:hAnsi="Calibri" w:cstheme="minorHAnsi"/>
          <w:spacing w:val="-2"/>
          <w:sz w:val="20"/>
          <w:szCs w:val="20"/>
        </w:rPr>
        <w:t xml:space="preserve"> </w:t>
      </w:r>
    </w:p>
    <w:p w14:paraId="1F188253"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354"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31396447</w:t>
        </w:r>
      </w:hyperlink>
      <w:r w:rsidRPr="00C10BBC">
        <w:rPr>
          <w:rFonts w:ascii="Calibri" w:eastAsia="Times New Roman" w:hAnsi="Calibri" w:cstheme="minorHAnsi"/>
          <w:spacing w:val="-2"/>
          <w:sz w:val="20"/>
          <w:szCs w:val="20"/>
        </w:rPr>
        <w:t xml:space="preserve"> </w:t>
      </w:r>
    </w:p>
    <w:p w14:paraId="0A4C741C"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175.</w:t>
      </w:r>
      <w:r w:rsidRPr="00C10BBC">
        <w:rPr>
          <w:rFonts w:ascii="Calibri" w:eastAsia="Times New Roman" w:hAnsi="Calibri" w:cstheme="minorHAnsi"/>
          <w:spacing w:val="-2"/>
          <w:sz w:val="20"/>
          <w:szCs w:val="20"/>
        </w:rPr>
        <w:tab/>
      </w:r>
      <w:bookmarkStart w:id="353" w:name="b175"/>
      <w:bookmarkStart w:id="354" w:name="idm1148669888"/>
      <w:bookmarkEnd w:id="353"/>
      <w:bookmarkEnd w:id="354"/>
      <w:r w:rsidRPr="00C10BBC">
        <w:rPr>
          <w:rFonts w:ascii="Calibri" w:eastAsia="Times New Roman" w:hAnsi="Calibri" w:cstheme="minorHAnsi"/>
          <w:spacing w:val="-2"/>
          <w:sz w:val="20"/>
          <w:szCs w:val="20"/>
        </w:rPr>
        <w:t xml:space="preserve">Upadhye A, Srikakulapu P, Gonen A, Hendrikx S, Perry HM, Nguyen A, McSkimming C, Marshall MA, Garmey JC, Taylor AM, Bender TP, Tsimikas S, Holodick NE, et al. Diversification and CXCR4-Dependent Establishment of the Bone Marrow B-1a Cell Pool Governs Atheroprotective IgM Production Linked to Human Coronary Atherosclerosis. </w:t>
      </w:r>
      <w:r w:rsidRPr="00C10BBC">
        <w:rPr>
          <w:rFonts w:ascii="Calibri" w:eastAsia="Times New Roman" w:hAnsi="Calibri" w:cstheme="minorHAnsi"/>
          <w:spacing w:val="-2"/>
          <w:sz w:val="20"/>
          <w:szCs w:val="20"/>
          <w:lang w:val="pt-BR"/>
        </w:rPr>
        <w:t xml:space="preserve">Circ Res. 2019; 125:e55-70. </w:t>
      </w:r>
    </w:p>
    <w:p w14:paraId="320F145D"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355" w:tgtFrame="_blank" w:history="1">
        <w:r w:rsidRPr="00C10BBC">
          <w:rPr>
            <w:rFonts w:ascii="Calibri" w:eastAsia="Times New Roman" w:hAnsi="Calibri" w:cstheme="minorHAnsi"/>
            <w:color w:val="0000FF"/>
            <w:spacing w:val="-2"/>
            <w:sz w:val="20"/>
            <w:szCs w:val="20"/>
            <w:u w:val="single"/>
            <w:lang w:val="pt-BR"/>
          </w:rPr>
          <w:t>https://doi.org/10.1161/CIRCRESAHA.119.315786</w:t>
        </w:r>
      </w:hyperlink>
      <w:r w:rsidRPr="00C10BBC">
        <w:rPr>
          <w:rFonts w:ascii="Calibri" w:eastAsia="Times New Roman" w:hAnsi="Calibri" w:cstheme="minorHAnsi"/>
          <w:spacing w:val="-2"/>
          <w:sz w:val="20"/>
          <w:szCs w:val="20"/>
          <w:lang w:val="pt-BR"/>
        </w:rPr>
        <w:t xml:space="preserve"> </w:t>
      </w:r>
    </w:p>
    <w:p w14:paraId="078D047D" w14:textId="77777777" w:rsidR="00615745" w:rsidRPr="00C10BBC" w:rsidRDefault="00615745" w:rsidP="00615745">
      <w:pPr>
        <w:ind w:left="529" w:hangingChars="270" w:hanging="529"/>
        <w:rPr>
          <w:rFonts w:ascii="Calibri" w:eastAsia="Times New Roman" w:hAnsi="Calibri" w:cstheme="minorHAnsi"/>
          <w:spacing w:val="-2"/>
          <w:sz w:val="20"/>
          <w:szCs w:val="20"/>
          <w:lang w:val="pt-BR"/>
        </w:rPr>
      </w:pPr>
      <w:r w:rsidRPr="00C10BBC">
        <w:rPr>
          <w:rFonts w:ascii="Calibri" w:hAnsi="Calibri" w:cstheme="minorHAnsi"/>
          <w:spacing w:val="-2"/>
          <w:sz w:val="20"/>
          <w:szCs w:val="20"/>
        </w:rPr>
        <w:tab/>
      </w:r>
      <w:hyperlink r:id="rId356"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lang w:val="pt-BR"/>
          </w:rPr>
          <w:t>31549940</w:t>
        </w:r>
      </w:hyperlink>
      <w:r w:rsidRPr="00C10BBC">
        <w:rPr>
          <w:rFonts w:ascii="Calibri" w:eastAsia="Times New Roman" w:hAnsi="Calibri" w:cstheme="minorHAnsi"/>
          <w:spacing w:val="-2"/>
          <w:sz w:val="20"/>
          <w:szCs w:val="20"/>
          <w:lang w:val="pt-BR"/>
        </w:rPr>
        <w:t xml:space="preserve"> </w:t>
      </w:r>
    </w:p>
    <w:p w14:paraId="47F1D493"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lang w:val="pt-BR"/>
        </w:rPr>
        <w:t>176.</w:t>
      </w:r>
      <w:r w:rsidRPr="00C10BBC">
        <w:rPr>
          <w:rFonts w:ascii="Calibri" w:eastAsia="Times New Roman" w:hAnsi="Calibri" w:cstheme="minorHAnsi"/>
          <w:spacing w:val="-2"/>
          <w:sz w:val="20"/>
          <w:szCs w:val="20"/>
          <w:lang w:val="pt-BR"/>
        </w:rPr>
        <w:tab/>
      </w:r>
      <w:bookmarkStart w:id="355" w:name="b176"/>
      <w:bookmarkStart w:id="356" w:name="idm974346096"/>
      <w:bookmarkEnd w:id="355"/>
      <w:bookmarkEnd w:id="356"/>
      <w:r w:rsidRPr="00C10BBC">
        <w:rPr>
          <w:rFonts w:ascii="Calibri" w:eastAsia="Times New Roman" w:hAnsi="Calibri" w:cstheme="minorHAnsi"/>
          <w:spacing w:val="-2"/>
          <w:sz w:val="20"/>
          <w:szCs w:val="20"/>
          <w:lang w:val="pt-BR"/>
        </w:rPr>
        <w:t xml:space="preserve">Wolfrum S, Rodriguez JM, Tan M, Chen KY, Teupser D, Breslow JL. </w:t>
      </w:r>
      <w:r w:rsidRPr="00C10BBC">
        <w:rPr>
          <w:rFonts w:ascii="Calibri" w:eastAsia="Times New Roman" w:hAnsi="Calibri" w:cstheme="minorHAnsi"/>
          <w:spacing w:val="-2"/>
          <w:sz w:val="20"/>
          <w:szCs w:val="20"/>
        </w:rPr>
        <w:t xml:space="preserve">The mouse atherosclerosis locus at chromosome 10 (Ath11) acts early in lesion formation with subcongenic strains delineating 2 narrowed regions. Arterioscler Thromb Vasc Biol. 2010; 30:1583-90. </w:t>
      </w:r>
    </w:p>
    <w:p w14:paraId="2374E8D7"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357" w:tgtFrame="_blank" w:history="1">
        <w:r w:rsidRPr="00C10BBC">
          <w:rPr>
            <w:rFonts w:ascii="Calibri" w:eastAsia="Times New Roman" w:hAnsi="Calibri" w:cstheme="minorHAnsi"/>
            <w:color w:val="0000FF"/>
            <w:spacing w:val="-2"/>
            <w:sz w:val="20"/>
            <w:szCs w:val="20"/>
            <w:u w:val="single"/>
          </w:rPr>
          <w:t>https://doi.org/10.1161/ATVBAHA.110.205757</w:t>
        </w:r>
      </w:hyperlink>
      <w:r w:rsidRPr="00C10BBC">
        <w:rPr>
          <w:rFonts w:ascii="Calibri" w:eastAsia="Times New Roman" w:hAnsi="Calibri" w:cstheme="minorHAnsi"/>
          <w:spacing w:val="-2"/>
          <w:sz w:val="20"/>
          <w:szCs w:val="20"/>
        </w:rPr>
        <w:t xml:space="preserve"> </w:t>
      </w:r>
    </w:p>
    <w:p w14:paraId="571546FD"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358"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20466976</w:t>
        </w:r>
      </w:hyperlink>
      <w:r w:rsidRPr="00C10BBC">
        <w:rPr>
          <w:rFonts w:ascii="Calibri" w:eastAsia="Times New Roman" w:hAnsi="Calibri" w:cstheme="minorHAnsi"/>
          <w:spacing w:val="-2"/>
          <w:sz w:val="20"/>
          <w:szCs w:val="20"/>
        </w:rPr>
        <w:t xml:space="preserve"> </w:t>
      </w:r>
    </w:p>
    <w:p w14:paraId="66512B4E"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177.</w:t>
      </w:r>
      <w:r w:rsidRPr="00C10BBC">
        <w:rPr>
          <w:rFonts w:ascii="Calibri" w:eastAsia="Times New Roman" w:hAnsi="Calibri" w:cstheme="minorHAnsi"/>
          <w:spacing w:val="-2"/>
          <w:sz w:val="20"/>
          <w:szCs w:val="20"/>
        </w:rPr>
        <w:tab/>
      </w:r>
      <w:bookmarkStart w:id="357" w:name="b177"/>
      <w:bookmarkStart w:id="358" w:name="idm1007299664"/>
      <w:bookmarkEnd w:id="357"/>
      <w:bookmarkEnd w:id="358"/>
      <w:r w:rsidRPr="00C10BBC">
        <w:rPr>
          <w:rFonts w:ascii="Calibri" w:eastAsia="Times New Roman" w:hAnsi="Calibri" w:cstheme="minorHAnsi"/>
          <w:spacing w:val="-2"/>
          <w:sz w:val="20"/>
          <w:szCs w:val="20"/>
        </w:rPr>
        <w:t xml:space="preserve">Shentu TP, He M, Sun X, Zhang J, Zhang F, Gongol B, Marin TL, Zhang J, Wen L, Wang Y, Geary GG, Zhu Y, Johnson DA, Shyy JY. AMP-Activated Protein Kinase and Sirtuin 1 Coregulation of Cortactin Contributes to Endothelial Function. Arterioscler Thromb Vasc Biol. 2016; 36:2358-68. </w:t>
      </w:r>
    </w:p>
    <w:p w14:paraId="52F72F8B"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359" w:tgtFrame="_blank" w:history="1">
        <w:r w:rsidRPr="00C10BBC">
          <w:rPr>
            <w:rFonts w:ascii="Calibri" w:eastAsia="Times New Roman" w:hAnsi="Calibri" w:cstheme="minorHAnsi"/>
            <w:color w:val="0000FF"/>
            <w:spacing w:val="-2"/>
            <w:sz w:val="20"/>
            <w:szCs w:val="20"/>
            <w:u w:val="single"/>
          </w:rPr>
          <w:t>https://doi.org/10.1161/ATVBAHA.116.307871</w:t>
        </w:r>
      </w:hyperlink>
      <w:r w:rsidRPr="00C10BBC">
        <w:rPr>
          <w:rFonts w:ascii="Calibri" w:eastAsia="Times New Roman" w:hAnsi="Calibri" w:cstheme="minorHAnsi"/>
          <w:spacing w:val="-2"/>
          <w:sz w:val="20"/>
          <w:szCs w:val="20"/>
        </w:rPr>
        <w:t xml:space="preserve"> </w:t>
      </w:r>
    </w:p>
    <w:p w14:paraId="6FE7CA06"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360"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27758765</w:t>
        </w:r>
      </w:hyperlink>
      <w:r w:rsidRPr="00C10BBC">
        <w:rPr>
          <w:rFonts w:ascii="Calibri" w:eastAsia="Times New Roman" w:hAnsi="Calibri" w:cstheme="minorHAnsi"/>
          <w:spacing w:val="-2"/>
          <w:sz w:val="20"/>
          <w:szCs w:val="20"/>
        </w:rPr>
        <w:t xml:space="preserve"> </w:t>
      </w:r>
    </w:p>
    <w:p w14:paraId="2A3E42EA"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178.</w:t>
      </w:r>
      <w:r w:rsidRPr="00C10BBC">
        <w:rPr>
          <w:rFonts w:ascii="Calibri" w:eastAsia="Times New Roman" w:hAnsi="Calibri" w:cstheme="minorHAnsi"/>
          <w:spacing w:val="-2"/>
          <w:sz w:val="20"/>
          <w:szCs w:val="20"/>
        </w:rPr>
        <w:tab/>
      </w:r>
      <w:bookmarkStart w:id="359" w:name="b178"/>
      <w:bookmarkStart w:id="360" w:name="idm999935456"/>
      <w:bookmarkEnd w:id="359"/>
      <w:bookmarkEnd w:id="360"/>
      <w:r w:rsidRPr="00C10BBC">
        <w:rPr>
          <w:rFonts w:ascii="Calibri" w:eastAsia="Times New Roman" w:hAnsi="Calibri" w:cstheme="minorHAnsi"/>
          <w:spacing w:val="-2"/>
          <w:sz w:val="20"/>
          <w:szCs w:val="20"/>
        </w:rPr>
        <w:t xml:space="preserve">Luyckx E, Everaert BR, Van der Veken B, Van Leuven W, Timmermans JP, Vrints CJ, De Meyer GR, Martinet W, Dewilde S. Cytoprotective effects of transgenic neuroglobin overexpression in an acute and chronic mouse model of ischemic heart disease. Heart Vessels. 2018; 33:80-88. </w:t>
      </w:r>
    </w:p>
    <w:p w14:paraId="3199D2B7"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361" w:tgtFrame="_blank" w:history="1">
        <w:r w:rsidRPr="00C10BBC">
          <w:rPr>
            <w:rFonts w:ascii="Calibri" w:eastAsia="Times New Roman" w:hAnsi="Calibri" w:cstheme="minorHAnsi"/>
            <w:color w:val="0000FF"/>
            <w:spacing w:val="-2"/>
            <w:sz w:val="20"/>
            <w:szCs w:val="20"/>
            <w:u w:val="single"/>
          </w:rPr>
          <w:t>https://doi.org/10.1007/s00380-017-1065-5</w:t>
        </w:r>
      </w:hyperlink>
      <w:r w:rsidRPr="00C10BBC">
        <w:rPr>
          <w:rFonts w:ascii="Calibri" w:eastAsia="Times New Roman" w:hAnsi="Calibri" w:cstheme="minorHAnsi"/>
          <w:spacing w:val="-2"/>
          <w:sz w:val="20"/>
          <w:szCs w:val="20"/>
        </w:rPr>
        <w:t xml:space="preserve"> </w:t>
      </w:r>
    </w:p>
    <w:p w14:paraId="753589CC"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362"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29098407</w:t>
        </w:r>
      </w:hyperlink>
      <w:r w:rsidRPr="00C10BBC">
        <w:rPr>
          <w:rFonts w:ascii="Calibri" w:eastAsia="Times New Roman" w:hAnsi="Calibri" w:cstheme="minorHAnsi"/>
          <w:spacing w:val="-2"/>
          <w:sz w:val="20"/>
          <w:szCs w:val="20"/>
        </w:rPr>
        <w:t xml:space="preserve"> </w:t>
      </w:r>
    </w:p>
    <w:p w14:paraId="21F456B7"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179.</w:t>
      </w:r>
      <w:r w:rsidRPr="00C10BBC">
        <w:rPr>
          <w:rFonts w:ascii="Calibri" w:eastAsia="Times New Roman" w:hAnsi="Calibri" w:cstheme="minorHAnsi"/>
          <w:spacing w:val="-2"/>
          <w:sz w:val="20"/>
          <w:szCs w:val="20"/>
        </w:rPr>
        <w:tab/>
      </w:r>
      <w:bookmarkStart w:id="361" w:name="b179"/>
      <w:bookmarkStart w:id="362" w:name="idm1139592256"/>
      <w:bookmarkEnd w:id="361"/>
      <w:bookmarkEnd w:id="362"/>
      <w:r w:rsidRPr="00C10BBC">
        <w:rPr>
          <w:rFonts w:ascii="Calibri" w:eastAsia="Times New Roman" w:hAnsi="Calibri" w:cstheme="minorHAnsi"/>
          <w:spacing w:val="-2"/>
          <w:sz w:val="20"/>
          <w:szCs w:val="20"/>
        </w:rPr>
        <w:t xml:space="preserve">Helgadottir A, Thorleifsson G, Gretarsdottir S, Stefansson OA, Tragante V, Thorolfsdottir RB, Jonsdottir I, Bjornsson T, Steinthorsdottir V, Verweij N, Nielsen JB, Zhou W, Folkersen L, et al. Genome-wide analysis yields new loci associating with aortic valve stenosis. Nat Commun. 2018; 9:987. </w:t>
      </w:r>
    </w:p>
    <w:p w14:paraId="35AF6AD8"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363" w:tgtFrame="_blank" w:history="1">
        <w:r w:rsidRPr="00C10BBC">
          <w:rPr>
            <w:rFonts w:ascii="Calibri" w:eastAsia="Times New Roman" w:hAnsi="Calibri" w:cstheme="minorHAnsi"/>
            <w:color w:val="0000FF"/>
            <w:spacing w:val="-2"/>
            <w:sz w:val="20"/>
            <w:szCs w:val="20"/>
            <w:u w:val="single"/>
          </w:rPr>
          <w:t>https://doi.org/10.1038/s41467-018-03252-6</w:t>
        </w:r>
      </w:hyperlink>
      <w:r w:rsidRPr="00C10BBC">
        <w:rPr>
          <w:rFonts w:ascii="Calibri" w:eastAsia="Times New Roman" w:hAnsi="Calibri" w:cstheme="minorHAnsi"/>
          <w:spacing w:val="-2"/>
          <w:sz w:val="20"/>
          <w:szCs w:val="20"/>
        </w:rPr>
        <w:t xml:space="preserve"> </w:t>
      </w:r>
    </w:p>
    <w:p w14:paraId="25A2BB6F"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364"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29511194</w:t>
        </w:r>
      </w:hyperlink>
    </w:p>
    <w:p w14:paraId="6EFD586E"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180.</w:t>
      </w:r>
      <w:r w:rsidRPr="00C10BBC">
        <w:rPr>
          <w:rFonts w:ascii="Calibri" w:eastAsia="Times New Roman" w:hAnsi="Calibri" w:cstheme="minorHAnsi"/>
          <w:spacing w:val="-2"/>
          <w:sz w:val="20"/>
          <w:szCs w:val="20"/>
        </w:rPr>
        <w:tab/>
      </w:r>
      <w:bookmarkStart w:id="363" w:name="b180"/>
      <w:bookmarkStart w:id="364" w:name="idm1173061280"/>
      <w:bookmarkEnd w:id="363"/>
      <w:bookmarkEnd w:id="364"/>
      <w:r w:rsidRPr="00C10BBC">
        <w:rPr>
          <w:rFonts w:ascii="Calibri" w:eastAsia="Times New Roman" w:hAnsi="Calibri" w:cstheme="minorHAnsi"/>
          <w:spacing w:val="-2"/>
          <w:sz w:val="20"/>
          <w:szCs w:val="20"/>
        </w:rPr>
        <w:t xml:space="preserve">Chen YC, Rivera J, Fitzgerald M, Hausding C, Ying YL, Wang X, Todorova K, Hayrabedyan S, Barnea ER, Peter K. PreImplantation factor prevents atherosclerosis via its immunomodulatory effects without affecting serum lipids. Thromb Haemost. 2016; 115:1010-24. </w:t>
      </w:r>
    </w:p>
    <w:p w14:paraId="08365C44"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365" w:tgtFrame="_blank" w:history="1">
        <w:r w:rsidRPr="00C10BBC">
          <w:rPr>
            <w:rFonts w:ascii="Calibri" w:eastAsia="Times New Roman" w:hAnsi="Calibri" w:cstheme="minorHAnsi"/>
            <w:color w:val="0000FF"/>
            <w:spacing w:val="-2"/>
            <w:sz w:val="20"/>
            <w:szCs w:val="20"/>
            <w:u w:val="single"/>
          </w:rPr>
          <w:t>https://doi.org/10.1160/TH15-08-0640</w:t>
        </w:r>
      </w:hyperlink>
      <w:r w:rsidRPr="00C10BBC">
        <w:rPr>
          <w:rFonts w:ascii="Calibri" w:eastAsia="Times New Roman" w:hAnsi="Calibri" w:cstheme="minorHAnsi"/>
          <w:spacing w:val="-2"/>
          <w:sz w:val="20"/>
          <w:szCs w:val="20"/>
        </w:rPr>
        <w:t xml:space="preserve"> </w:t>
      </w:r>
    </w:p>
    <w:p w14:paraId="287E4A30"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366"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26842698</w:t>
        </w:r>
      </w:hyperlink>
      <w:r w:rsidRPr="00C10BBC">
        <w:rPr>
          <w:rFonts w:ascii="Calibri" w:eastAsia="Times New Roman" w:hAnsi="Calibri" w:cstheme="minorHAnsi"/>
          <w:spacing w:val="-2"/>
          <w:sz w:val="20"/>
          <w:szCs w:val="20"/>
        </w:rPr>
        <w:t xml:space="preserve"> </w:t>
      </w:r>
    </w:p>
    <w:p w14:paraId="0FF0D0BB"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181.</w:t>
      </w:r>
      <w:r w:rsidRPr="00C10BBC">
        <w:rPr>
          <w:rFonts w:ascii="Calibri" w:eastAsia="Times New Roman" w:hAnsi="Calibri" w:cstheme="minorHAnsi"/>
          <w:spacing w:val="-2"/>
          <w:sz w:val="20"/>
          <w:szCs w:val="20"/>
        </w:rPr>
        <w:tab/>
      </w:r>
      <w:bookmarkStart w:id="365" w:name="b181"/>
      <w:bookmarkStart w:id="366" w:name="idm1165430240"/>
      <w:bookmarkEnd w:id="365"/>
      <w:bookmarkEnd w:id="366"/>
      <w:r w:rsidRPr="00C10BBC">
        <w:rPr>
          <w:rFonts w:ascii="Calibri" w:eastAsia="Times New Roman" w:hAnsi="Calibri" w:cstheme="minorHAnsi"/>
          <w:spacing w:val="-2"/>
          <w:sz w:val="20"/>
          <w:szCs w:val="20"/>
        </w:rPr>
        <w:t xml:space="preserve">Hughes SE. Localisation and differential expression of the fibroblast growth factor receptor (FGFR) multigene family in normal and atherosclerotic human arteries. Cardiovasc Res. 1996; 32:557-69. </w:t>
      </w:r>
    </w:p>
    <w:p w14:paraId="24845FBD"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367" w:tgtFrame="_blank" w:history="1">
        <w:r w:rsidRPr="00C10BBC">
          <w:rPr>
            <w:rFonts w:ascii="Calibri" w:eastAsia="Times New Roman" w:hAnsi="Calibri" w:cstheme="minorHAnsi"/>
            <w:color w:val="0000FF"/>
            <w:spacing w:val="-2"/>
            <w:sz w:val="20"/>
            <w:szCs w:val="20"/>
            <w:u w:val="single"/>
          </w:rPr>
          <w:t>https://doi.org/10.1016/S0008-6363(96)00102-2</w:t>
        </w:r>
      </w:hyperlink>
      <w:r w:rsidRPr="00C10BBC">
        <w:rPr>
          <w:rFonts w:ascii="Calibri" w:eastAsia="Times New Roman" w:hAnsi="Calibri" w:cstheme="minorHAnsi"/>
          <w:spacing w:val="-2"/>
          <w:sz w:val="20"/>
          <w:szCs w:val="20"/>
        </w:rPr>
        <w:t xml:space="preserve"> </w:t>
      </w:r>
    </w:p>
    <w:p w14:paraId="0559AC48"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368"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8881516</w:t>
        </w:r>
      </w:hyperlink>
      <w:r w:rsidRPr="00C10BBC">
        <w:rPr>
          <w:rFonts w:ascii="Calibri" w:eastAsia="Times New Roman" w:hAnsi="Calibri" w:cstheme="minorHAnsi"/>
          <w:spacing w:val="-2"/>
          <w:sz w:val="20"/>
          <w:szCs w:val="20"/>
        </w:rPr>
        <w:t xml:space="preserve"> </w:t>
      </w:r>
    </w:p>
    <w:p w14:paraId="5C32F8BB"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182.</w:t>
      </w:r>
      <w:r w:rsidRPr="00C10BBC">
        <w:rPr>
          <w:rFonts w:ascii="Calibri" w:eastAsia="Times New Roman" w:hAnsi="Calibri" w:cstheme="minorHAnsi"/>
          <w:spacing w:val="-2"/>
          <w:sz w:val="20"/>
          <w:szCs w:val="20"/>
        </w:rPr>
        <w:tab/>
      </w:r>
      <w:bookmarkStart w:id="367" w:name="b182"/>
      <w:bookmarkStart w:id="368" w:name="idm1170399552"/>
      <w:bookmarkEnd w:id="367"/>
      <w:bookmarkEnd w:id="368"/>
      <w:r w:rsidRPr="00C10BBC">
        <w:rPr>
          <w:rFonts w:ascii="Calibri" w:eastAsia="Times New Roman" w:hAnsi="Calibri" w:cstheme="minorHAnsi"/>
          <w:spacing w:val="-2"/>
          <w:sz w:val="20"/>
          <w:szCs w:val="20"/>
        </w:rPr>
        <w:t xml:space="preserve">Xia Z, Gu M, Jia X, Wang X, Wu C, Guo J, Zhang L, Du Y, Wang J. Integrated DNA methylation and gene expression analysis identifies SLAMF7 as a key regulator of atherosclerosis. Aging (Albany NY). 2018; 10:1324-37. </w:t>
      </w:r>
    </w:p>
    <w:p w14:paraId="2A7D0F14"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369" w:tgtFrame="_blank" w:history="1">
        <w:r w:rsidRPr="00C10BBC">
          <w:rPr>
            <w:rFonts w:ascii="Calibri" w:eastAsia="Times New Roman" w:hAnsi="Calibri" w:cstheme="minorHAnsi"/>
            <w:color w:val="0000FF"/>
            <w:spacing w:val="-2"/>
            <w:sz w:val="20"/>
            <w:szCs w:val="20"/>
            <w:u w:val="single"/>
          </w:rPr>
          <w:t>https://doi.org/10.18632/aging.101470</w:t>
        </w:r>
      </w:hyperlink>
      <w:r w:rsidRPr="00C10BBC">
        <w:rPr>
          <w:rFonts w:ascii="Calibri" w:eastAsia="Times New Roman" w:hAnsi="Calibri" w:cstheme="minorHAnsi"/>
          <w:spacing w:val="-2"/>
          <w:sz w:val="20"/>
          <w:szCs w:val="20"/>
        </w:rPr>
        <w:t xml:space="preserve"> </w:t>
      </w:r>
    </w:p>
    <w:p w14:paraId="1AB83062"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370"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29905534</w:t>
        </w:r>
      </w:hyperlink>
      <w:r w:rsidRPr="00C10BBC">
        <w:rPr>
          <w:rFonts w:ascii="Calibri" w:eastAsia="Times New Roman" w:hAnsi="Calibri" w:cstheme="minorHAnsi"/>
          <w:spacing w:val="-2"/>
          <w:sz w:val="20"/>
          <w:szCs w:val="20"/>
        </w:rPr>
        <w:t xml:space="preserve"> </w:t>
      </w:r>
    </w:p>
    <w:p w14:paraId="2724E955"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183.</w:t>
      </w:r>
      <w:r w:rsidRPr="00C10BBC">
        <w:rPr>
          <w:rFonts w:ascii="Calibri" w:eastAsia="Times New Roman" w:hAnsi="Calibri" w:cstheme="minorHAnsi"/>
          <w:spacing w:val="-2"/>
          <w:sz w:val="20"/>
          <w:szCs w:val="20"/>
        </w:rPr>
        <w:tab/>
      </w:r>
      <w:bookmarkStart w:id="369" w:name="b183"/>
      <w:bookmarkStart w:id="370" w:name="idm1141663456"/>
      <w:bookmarkEnd w:id="369"/>
      <w:bookmarkEnd w:id="370"/>
      <w:r w:rsidRPr="00C10BBC">
        <w:rPr>
          <w:rFonts w:ascii="Calibri" w:eastAsia="Times New Roman" w:hAnsi="Calibri" w:cstheme="minorHAnsi"/>
          <w:spacing w:val="-2"/>
          <w:sz w:val="20"/>
          <w:szCs w:val="20"/>
        </w:rPr>
        <w:t xml:space="preserve">De Iuliis V, Ursi S, Pennelli A, Caruso M, Capodifoglio S, Marino A, Flati V, Vitullo G, Toniato E, Robuffo I, Martinotti S. A Method to Study the C924T Polymorphism of the Thromboxane A2 Receptor Gene. J Vis Exp. 2019. </w:t>
      </w:r>
    </w:p>
    <w:p w14:paraId="4E183187"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371" w:tgtFrame="_blank" w:history="1">
        <w:r w:rsidRPr="00C10BBC">
          <w:rPr>
            <w:rFonts w:ascii="Calibri" w:eastAsia="Times New Roman" w:hAnsi="Calibri" w:cstheme="minorHAnsi"/>
            <w:color w:val="0000FF"/>
            <w:spacing w:val="-2"/>
            <w:sz w:val="20"/>
            <w:szCs w:val="20"/>
            <w:u w:val="single"/>
          </w:rPr>
          <w:t>https://doi.org/10.3791/57289</w:t>
        </w:r>
      </w:hyperlink>
      <w:r w:rsidRPr="00C10BBC">
        <w:rPr>
          <w:rFonts w:ascii="Calibri" w:eastAsia="Times New Roman" w:hAnsi="Calibri" w:cstheme="minorHAnsi"/>
          <w:spacing w:val="-2"/>
          <w:sz w:val="20"/>
          <w:szCs w:val="20"/>
        </w:rPr>
        <w:t xml:space="preserve"> </w:t>
      </w:r>
    </w:p>
    <w:p w14:paraId="1130E51B"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372"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30985753</w:t>
        </w:r>
      </w:hyperlink>
    </w:p>
    <w:p w14:paraId="1BD20737"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184.</w:t>
      </w:r>
      <w:r w:rsidRPr="00C10BBC">
        <w:rPr>
          <w:rFonts w:ascii="Calibri" w:eastAsia="Times New Roman" w:hAnsi="Calibri" w:cstheme="minorHAnsi"/>
          <w:spacing w:val="-2"/>
          <w:sz w:val="20"/>
          <w:szCs w:val="20"/>
        </w:rPr>
        <w:tab/>
      </w:r>
      <w:bookmarkStart w:id="371" w:name="b184"/>
      <w:bookmarkStart w:id="372" w:name="idm1171692800"/>
      <w:bookmarkEnd w:id="371"/>
      <w:bookmarkEnd w:id="372"/>
      <w:r w:rsidRPr="00C10BBC">
        <w:rPr>
          <w:rFonts w:ascii="Calibri" w:eastAsia="Times New Roman" w:hAnsi="Calibri" w:cstheme="minorHAnsi"/>
          <w:spacing w:val="-2"/>
          <w:sz w:val="20"/>
          <w:szCs w:val="20"/>
        </w:rPr>
        <w:t xml:space="preserve">Rinne P, Rami M, Nuutinen S, Santovito D, van der Vorst EP, Guillamat-Prats R, Lyytikainen LP, Raitoharju E, Oksala N, Ring L, Cai M, Hruby VJ, Lehtimaki T, et al. Melanocortin 1 Receptor Signaling Regulates Cholesterol Transport in Macrophages. Circulation. 2017; 136:83-97. </w:t>
      </w:r>
    </w:p>
    <w:p w14:paraId="636B8A9E"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373" w:tgtFrame="_blank" w:history="1">
        <w:r w:rsidRPr="00C10BBC">
          <w:rPr>
            <w:rFonts w:ascii="Calibri" w:eastAsia="Times New Roman" w:hAnsi="Calibri" w:cstheme="minorHAnsi"/>
            <w:color w:val="0000FF"/>
            <w:spacing w:val="-2"/>
            <w:sz w:val="20"/>
            <w:szCs w:val="20"/>
            <w:u w:val="single"/>
          </w:rPr>
          <w:t>https://doi.org/10.1161/CIRCULATIONAHA.116.025889</w:t>
        </w:r>
      </w:hyperlink>
      <w:r w:rsidRPr="00C10BBC">
        <w:rPr>
          <w:rFonts w:ascii="Calibri" w:eastAsia="Times New Roman" w:hAnsi="Calibri" w:cstheme="minorHAnsi"/>
          <w:spacing w:val="-2"/>
          <w:sz w:val="20"/>
          <w:szCs w:val="20"/>
        </w:rPr>
        <w:t xml:space="preserve"> </w:t>
      </w:r>
    </w:p>
    <w:p w14:paraId="2FB1ADBC"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374"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28450348</w:t>
        </w:r>
      </w:hyperlink>
      <w:r w:rsidRPr="00C10BBC">
        <w:rPr>
          <w:rFonts w:ascii="Calibri" w:eastAsia="Times New Roman" w:hAnsi="Calibri" w:cstheme="minorHAnsi"/>
          <w:spacing w:val="-2"/>
          <w:sz w:val="20"/>
          <w:szCs w:val="20"/>
        </w:rPr>
        <w:t xml:space="preserve"> </w:t>
      </w:r>
    </w:p>
    <w:p w14:paraId="4E62D312"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185.</w:t>
      </w:r>
      <w:r w:rsidRPr="00C10BBC">
        <w:rPr>
          <w:rFonts w:ascii="Calibri" w:eastAsia="Times New Roman" w:hAnsi="Calibri" w:cstheme="minorHAnsi"/>
          <w:spacing w:val="-2"/>
          <w:sz w:val="20"/>
          <w:szCs w:val="20"/>
        </w:rPr>
        <w:tab/>
      </w:r>
      <w:bookmarkStart w:id="373" w:name="b185"/>
      <w:bookmarkStart w:id="374" w:name="idm1138325968"/>
      <w:bookmarkEnd w:id="373"/>
      <w:bookmarkEnd w:id="374"/>
      <w:r w:rsidRPr="00C10BBC">
        <w:rPr>
          <w:rFonts w:ascii="Calibri" w:eastAsia="Times New Roman" w:hAnsi="Calibri" w:cstheme="minorHAnsi"/>
          <w:spacing w:val="-2"/>
          <w:sz w:val="20"/>
          <w:szCs w:val="20"/>
        </w:rPr>
        <w:t xml:space="preserve">Nolan DK, Sutton B, Haynes C, Johnson J, Sebek J, Dowdy E, Crosslin D, Crossman D, Sketch MH Jr, Granger CB, Seo D, Goldschmidt-Clermont P, Kraus WE, et al. Fine mapping of a linkage peak with integration of lipid traits identifies novel coronary artery disease genes on chromosome 5. BMC Genet. 2012; 13:12. </w:t>
      </w:r>
    </w:p>
    <w:p w14:paraId="40484835"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375" w:tgtFrame="_blank" w:history="1">
        <w:r w:rsidRPr="00C10BBC">
          <w:rPr>
            <w:rFonts w:ascii="Calibri" w:eastAsia="Times New Roman" w:hAnsi="Calibri" w:cstheme="minorHAnsi"/>
            <w:color w:val="0000FF"/>
            <w:spacing w:val="-2"/>
            <w:sz w:val="20"/>
            <w:szCs w:val="20"/>
            <w:u w:val="single"/>
          </w:rPr>
          <w:t>https://doi.org/10.1186/1471-2156-13-12</w:t>
        </w:r>
      </w:hyperlink>
      <w:r w:rsidRPr="00C10BBC">
        <w:rPr>
          <w:rFonts w:ascii="Calibri" w:eastAsia="Times New Roman" w:hAnsi="Calibri" w:cstheme="minorHAnsi"/>
          <w:spacing w:val="-2"/>
          <w:sz w:val="20"/>
          <w:szCs w:val="20"/>
        </w:rPr>
        <w:t xml:space="preserve"> </w:t>
      </w:r>
    </w:p>
    <w:p w14:paraId="3006FDF5"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376"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22369142</w:t>
        </w:r>
      </w:hyperlink>
      <w:r w:rsidRPr="00C10BBC">
        <w:rPr>
          <w:rFonts w:ascii="Calibri" w:eastAsia="Times New Roman" w:hAnsi="Calibri" w:cstheme="minorHAnsi"/>
          <w:spacing w:val="-2"/>
          <w:sz w:val="20"/>
          <w:szCs w:val="20"/>
        </w:rPr>
        <w:t xml:space="preserve"> </w:t>
      </w:r>
    </w:p>
    <w:p w14:paraId="17497EA4"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186.</w:t>
      </w:r>
      <w:r w:rsidRPr="00C10BBC">
        <w:rPr>
          <w:rFonts w:ascii="Calibri" w:eastAsia="Times New Roman" w:hAnsi="Calibri" w:cstheme="minorHAnsi"/>
          <w:spacing w:val="-2"/>
          <w:sz w:val="20"/>
          <w:szCs w:val="20"/>
        </w:rPr>
        <w:tab/>
      </w:r>
      <w:bookmarkStart w:id="375" w:name="b186"/>
      <w:bookmarkStart w:id="376" w:name="idm1142932208"/>
      <w:bookmarkEnd w:id="375"/>
      <w:bookmarkEnd w:id="376"/>
      <w:r w:rsidRPr="00C10BBC">
        <w:rPr>
          <w:rFonts w:ascii="Calibri" w:eastAsia="Times New Roman" w:hAnsi="Calibri" w:cstheme="minorHAnsi"/>
          <w:spacing w:val="-2"/>
          <w:sz w:val="20"/>
          <w:szCs w:val="20"/>
        </w:rPr>
        <w:t xml:space="preserve">Kang YJ, Kim WJ, Bae HU, Kim DI, Park YB, Park JE, Kwon BS, Lee WH. Involvement of TL1A and DR3 in induction of pro-inflammatory cytokines and matrix metalloproteinase-9 in atherogenesis. Cytokine. 2005; 29:229-35. </w:t>
      </w:r>
    </w:p>
    <w:p w14:paraId="798C1CDC"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377" w:tgtFrame="_blank" w:history="1">
        <w:r w:rsidRPr="00C10BBC">
          <w:rPr>
            <w:rFonts w:ascii="Calibri" w:eastAsia="Times New Roman" w:hAnsi="Calibri" w:cstheme="minorHAnsi"/>
            <w:color w:val="0000FF"/>
            <w:spacing w:val="-2"/>
            <w:sz w:val="20"/>
            <w:szCs w:val="20"/>
            <w:u w:val="single"/>
          </w:rPr>
          <w:t>https://doi.org/10.1016/j.cyto.2004.12.001</w:t>
        </w:r>
      </w:hyperlink>
      <w:r w:rsidRPr="00C10BBC">
        <w:rPr>
          <w:rFonts w:ascii="Calibri" w:eastAsia="Times New Roman" w:hAnsi="Calibri" w:cstheme="minorHAnsi"/>
          <w:spacing w:val="-2"/>
          <w:sz w:val="20"/>
          <w:szCs w:val="20"/>
        </w:rPr>
        <w:t xml:space="preserve"> </w:t>
      </w:r>
    </w:p>
    <w:p w14:paraId="0F3C2879"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378"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15760679</w:t>
        </w:r>
      </w:hyperlink>
      <w:r w:rsidRPr="00C10BBC">
        <w:rPr>
          <w:rFonts w:ascii="Calibri" w:eastAsia="Times New Roman" w:hAnsi="Calibri" w:cstheme="minorHAnsi"/>
          <w:spacing w:val="-2"/>
          <w:sz w:val="20"/>
          <w:szCs w:val="20"/>
        </w:rPr>
        <w:t xml:space="preserve"> </w:t>
      </w:r>
    </w:p>
    <w:p w14:paraId="11E969E0"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187.</w:t>
      </w:r>
      <w:r w:rsidRPr="00C10BBC">
        <w:rPr>
          <w:rFonts w:ascii="Calibri" w:eastAsia="Times New Roman" w:hAnsi="Calibri" w:cstheme="minorHAnsi"/>
          <w:spacing w:val="-2"/>
          <w:sz w:val="20"/>
          <w:szCs w:val="20"/>
        </w:rPr>
        <w:tab/>
      </w:r>
      <w:bookmarkStart w:id="377" w:name="b187"/>
      <w:bookmarkStart w:id="378" w:name="idm1164392016"/>
      <w:bookmarkEnd w:id="377"/>
      <w:bookmarkEnd w:id="378"/>
      <w:r w:rsidRPr="00C10BBC">
        <w:rPr>
          <w:rFonts w:ascii="Calibri" w:eastAsia="Times New Roman" w:hAnsi="Calibri" w:cstheme="minorHAnsi"/>
          <w:spacing w:val="-2"/>
          <w:sz w:val="20"/>
          <w:szCs w:val="20"/>
        </w:rPr>
        <w:t xml:space="preserve">Shao B, Tang C, Sinha A, Mayer PS, Davenport GD, Brot N, Oda MN, Zhao XQ, Heinecke JW. Humans with atherosclerosis have impaired ABCA1 cholesterol efflux and enhanced high-density lipoprotein oxidation by myeloperoxidase. Circ Res. 2014; 114:1733-42. </w:t>
      </w:r>
    </w:p>
    <w:p w14:paraId="428F6787"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379" w:tgtFrame="_blank" w:history="1">
        <w:r w:rsidRPr="00C10BBC">
          <w:rPr>
            <w:rFonts w:ascii="Calibri" w:eastAsia="Times New Roman" w:hAnsi="Calibri" w:cstheme="minorHAnsi"/>
            <w:color w:val="0000FF"/>
            <w:spacing w:val="-2"/>
            <w:sz w:val="20"/>
            <w:szCs w:val="20"/>
            <w:u w:val="single"/>
          </w:rPr>
          <w:t>https://doi.org/10.1161/CIRCRESAHA.114.303454</w:t>
        </w:r>
      </w:hyperlink>
      <w:r w:rsidRPr="00C10BBC">
        <w:rPr>
          <w:rFonts w:ascii="Calibri" w:eastAsia="Times New Roman" w:hAnsi="Calibri" w:cstheme="minorHAnsi"/>
          <w:spacing w:val="-2"/>
          <w:sz w:val="20"/>
          <w:szCs w:val="20"/>
        </w:rPr>
        <w:t xml:space="preserve"> </w:t>
      </w:r>
    </w:p>
    <w:p w14:paraId="128385E1"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380"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24647144</w:t>
        </w:r>
      </w:hyperlink>
      <w:r w:rsidRPr="00C10BBC">
        <w:rPr>
          <w:rFonts w:ascii="Calibri" w:eastAsia="Times New Roman" w:hAnsi="Calibri" w:cstheme="minorHAnsi"/>
          <w:spacing w:val="-2"/>
          <w:sz w:val="20"/>
          <w:szCs w:val="20"/>
        </w:rPr>
        <w:t xml:space="preserve"> </w:t>
      </w:r>
    </w:p>
    <w:p w14:paraId="5AB3C86D"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188.</w:t>
      </w:r>
      <w:r w:rsidRPr="00C10BBC">
        <w:rPr>
          <w:rFonts w:ascii="Calibri" w:eastAsia="Times New Roman" w:hAnsi="Calibri" w:cstheme="minorHAnsi"/>
          <w:spacing w:val="-2"/>
          <w:sz w:val="20"/>
          <w:szCs w:val="20"/>
        </w:rPr>
        <w:tab/>
      </w:r>
      <w:bookmarkStart w:id="379" w:name="b188"/>
      <w:bookmarkStart w:id="380" w:name="idm1000447616"/>
      <w:bookmarkEnd w:id="379"/>
      <w:bookmarkEnd w:id="380"/>
      <w:r w:rsidRPr="00C10BBC">
        <w:rPr>
          <w:rFonts w:ascii="Calibri" w:eastAsia="Times New Roman" w:hAnsi="Calibri" w:cstheme="minorHAnsi"/>
          <w:spacing w:val="-2"/>
          <w:sz w:val="20"/>
          <w:szCs w:val="20"/>
        </w:rPr>
        <w:t>Wan Q, Liu Z, Yang M, Wu J. Acceleratory effects of ambient fine particulate matter on the development and progression of atherosclerosis in apolipoprotein E knockout mice by down-regulating CD4</w:t>
      </w:r>
      <w:r w:rsidRPr="00C10BBC">
        <w:rPr>
          <w:rFonts w:ascii="Calibri" w:eastAsia="Times New Roman" w:hAnsi="Calibri" w:cstheme="minorHAnsi"/>
          <w:spacing w:val="-2"/>
          <w:sz w:val="20"/>
          <w:szCs w:val="20"/>
          <w:vertAlign w:val="superscript"/>
        </w:rPr>
        <w:t>+</w:t>
      </w:r>
      <w:r w:rsidRPr="00C10BBC">
        <w:rPr>
          <w:rFonts w:ascii="Calibri" w:eastAsia="Times New Roman" w:hAnsi="Calibri" w:cstheme="minorHAnsi"/>
          <w:spacing w:val="-2"/>
          <w:sz w:val="20"/>
          <w:szCs w:val="20"/>
        </w:rPr>
        <w:t>CD25</w:t>
      </w:r>
      <w:r w:rsidRPr="00C10BBC">
        <w:rPr>
          <w:rFonts w:ascii="Calibri" w:eastAsia="Times New Roman" w:hAnsi="Calibri" w:cstheme="minorHAnsi"/>
          <w:spacing w:val="-2"/>
          <w:sz w:val="20"/>
          <w:szCs w:val="20"/>
          <w:vertAlign w:val="superscript"/>
        </w:rPr>
        <w:t>+</w:t>
      </w:r>
      <w:r w:rsidRPr="00C10BBC">
        <w:rPr>
          <w:rFonts w:ascii="Calibri" w:eastAsia="Times New Roman" w:hAnsi="Calibri" w:cstheme="minorHAnsi"/>
          <w:spacing w:val="-2"/>
          <w:sz w:val="20"/>
          <w:szCs w:val="20"/>
        </w:rPr>
        <w:t>Foxp3</w:t>
      </w:r>
      <w:r w:rsidRPr="00C10BBC">
        <w:rPr>
          <w:rFonts w:ascii="Calibri" w:eastAsia="Times New Roman" w:hAnsi="Calibri" w:cstheme="minorHAnsi"/>
          <w:spacing w:val="-2"/>
          <w:sz w:val="20"/>
          <w:szCs w:val="20"/>
          <w:vertAlign w:val="superscript"/>
        </w:rPr>
        <w:t>+</w:t>
      </w:r>
      <w:r w:rsidRPr="00C10BBC">
        <w:rPr>
          <w:rFonts w:ascii="Calibri" w:eastAsia="Times New Roman" w:hAnsi="Calibri" w:cstheme="minorHAnsi"/>
          <w:spacing w:val="-2"/>
          <w:sz w:val="20"/>
          <w:szCs w:val="20"/>
        </w:rPr>
        <w:t xml:space="preserve"> regulatory T cells. Toxicol Lett. 2019; 316:27-34. </w:t>
      </w:r>
    </w:p>
    <w:p w14:paraId="3E1CE693"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381" w:tgtFrame="_blank" w:history="1">
        <w:r w:rsidRPr="00C10BBC">
          <w:rPr>
            <w:rFonts w:ascii="Calibri" w:eastAsia="Times New Roman" w:hAnsi="Calibri" w:cstheme="minorHAnsi"/>
            <w:color w:val="0000FF"/>
            <w:spacing w:val="-2"/>
            <w:sz w:val="20"/>
            <w:szCs w:val="20"/>
            <w:u w:val="single"/>
          </w:rPr>
          <w:t>https://doi.org/10.1016/j.toxlet.2019.09.005</w:t>
        </w:r>
      </w:hyperlink>
      <w:r w:rsidRPr="00C10BBC">
        <w:rPr>
          <w:rFonts w:ascii="Calibri" w:eastAsia="Times New Roman" w:hAnsi="Calibri" w:cstheme="minorHAnsi"/>
          <w:spacing w:val="-2"/>
          <w:sz w:val="20"/>
          <w:szCs w:val="20"/>
        </w:rPr>
        <w:t xml:space="preserve"> </w:t>
      </w:r>
    </w:p>
    <w:p w14:paraId="75C65B3C"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382"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31513887</w:t>
        </w:r>
      </w:hyperlink>
      <w:r w:rsidRPr="00C10BBC">
        <w:rPr>
          <w:rFonts w:ascii="Calibri" w:eastAsia="Times New Roman" w:hAnsi="Calibri" w:cstheme="minorHAnsi"/>
          <w:spacing w:val="-2"/>
          <w:sz w:val="20"/>
          <w:szCs w:val="20"/>
        </w:rPr>
        <w:t xml:space="preserve"> </w:t>
      </w:r>
    </w:p>
    <w:p w14:paraId="55A6F1B9"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189.</w:t>
      </w:r>
      <w:r w:rsidRPr="00C10BBC">
        <w:rPr>
          <w:rFonts w:ascii="Calibri" w:eastAsia="Times New Roman" w:hAnsi="Calibri" w:cstheme="minorHAnsi"/>
          <w:spacing w:val="-2"/>
          <w:sz w:val="20"/>
          <w:szCs w:val="20"/>
        </w:rPr>
        <w:tab/>
      </w:r>
      <w:bookmarkStart w:id="381" w:name="b189"/>
      <w:bookmarkStart w:id="382" w:name="idm1150623824"/>
      <w:bookmarkEnd w:id="381"/>
      <w:bookmarkEnd w:id="382"/>
      <w:r w:rsidRPr="00C10BBC">
        <w:rPr>
          <w:rFonts w:ascii="Calibri" w:eastAsia="Times New Roman" w:hAnsi="Calibri" w:cstheme="minorHAnsi"/>
          <w:spacing w:val="-2"/>
          <w:sz w:val="20"/>
          <w:szCs w:val="20"/>
        </w:rPr>
        <w:t xml:space="preserve">Kheirollah A, Nagayasu Y, Ueda H, Yokoyama S, Michikawa M, Ito J. Involvement of cdc42/Rho kinase in apoA-I-mediated cholesterol efflux through interaction between cytosolic lipid-protein particles and microtubules in rat astrocytes. J Neurosci Res. 2014; 92:455-63. </w:t>
      </w:r>
    </w:p>
    <w:p w14:paraId="009439D3"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383" w:tgtFrame="_blank" w:history="1">
        <w:r w:rsidRPr="00C10BBC">
          <w:rPr>
            <w:rFonts w:ascii="Calibri" w:eastAsia="Times New Roman" w:hAnsi="Calibri" w:cstheme="minorHAnsi"/>
            <w:color w:val="0000FF"/>
            <w:spacing w:val="-2"/>
            <w:sz w:val="20"/>
            <w:szCs w:val="20"/>
            <w:u w:val="single"/>
          </w:rPr>
          <w:t>https://doi.org/10.1002/jnr.23324</w:t>
        </w:r>
      </w:hyperlink>
      <w:r w:rsidRPr="00C10BBC">
        <w:rPr>
          <w:rFonts w:ascii="Calibri" w:eastAsia="Times New Roman" w:hAnsi="Calibri" w:cstheme="minorHAnsi"/>
          <w:spacing w:val="-2"/>
          <w:sz w:val="20"/>
          <w:szCs w:val="20"/>
        </w:rPr>
        <w:t xml:space="preserve"> </w:t>
      </w:r>
    </w:p>
    <w:p w14:paraId="517B118B"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384"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24446142</w:t>
        </w:r>
      </w:hyperlink>
      <w:r w:rsidRPr="00C10BBC">
        <w:rPr>
          <w:rFonts w:ascii="Calibri" w:eastAsia="Times New Roman" w:hAnsi="Calibri" w:cstheme="minorHAnsi"/>
          <w:spacing w:val="-2"/>
          <w:sz w:val="20"/>
          <w:szCs w:val="20"/>
        </w:rPr>
        <w:t xml:space="preserve"> </w:t>
      </w:r>
    </w:p>
    <w:p w14:paraId="795CDCAF" w14:textId="77777777" w:rsidR="00615745" w:rsidRDefault="00615745" w:rsidP="00615745">
      <w:pPr>
        <w:ind w:left="529" w:hangingChars="270" w:hanging="529"/>
        <w:rPr>
          <w:rFonts w:ascii="Calibri" w:eastAsia="Times New Roman" w:hAnsi="Calibri" w:cstheme="minorHAnsi"/>
          <w:spacing w:val="-2"/>
          <w:sz w:val="20"/>
          <w:szCs w:val="20"/>
          <w:u w:val="single"/>
        </w:rPr>
      </w:pPr>
      <w:r w:rsidRPr="00C10BBC">
        <w:rPr>
          <w:rFonts w:ascii="Calibri" w:eastAsia="Times New Roman" w:hAnsi="Calibri" w:cstheme="minorHAnsi"/>
          <w:spacing w:val="-2"/>
          <w:sz w:val="20"/>
          <w:szCs w:val="20"/>
        </w:rPr>
        <w:t>190.</w:t>
      </w:r>
      <w:r w:rsidRPr="00C10BBC">
        <w:rPr>
          <w:rFonts w:ascii="Calibri" w:eastAsia="Times New Roman" w:hAnsi="Calibri" w:cstheme="minorHAnsi"/>
          <w:spacing w:val="-2"/>
          <w:sz w:val="20"/>
          <w:szCs w:val="20"/>
        </w:rPr>
        <w:tab/>
      </w:r>
      <w:bookmarkStart w:id="383" w:name="b190"/>
      <w:bookmarkStart w:id="384" w:name="idm1160253360"/>
      <w:bookmarkEnd w:id="383"/>
      <w:bookmarkEnd w:id="384"/>
      <w:r w:rsidRPr="00C10BBC">
        <w:rPr>
          <w:rFonts w:ascii="Calibri" w:eastAsia="Times New Roman" w:hAnsi="Calibri" w:cstheme="minorHAnsi"/>
          <w:spacing w:val="-2"/>
          <w:sz w:val="20"/>
          <w:szCs w:val="20"/>
        </w:rPr>
        <w:t>Liang C, Wang X, Hu J, Lian X, Zhu T, Zhang H, Gu N, Li J. PTPRO Promotes Oxidized Low-Density Lipoprotein Induced Oxidative Stress and Cell Apoptosis through Toll-Like Receptor 4/Nuclear Factor kappaB Pathway. Cell Physiol Biochem. 2017; 42:495-505.</w:t>
      </w:r>
    </w:p>
    <w:p w14:paraId="7A8B0D0C" w14:textId="77777777" w:rsidR="00615745" w:rsidRPr="00C10BBC" w:rsidRDefault="00615745" w:rsidP="00615745">
      <w:pPr>
        <w:ind w:left="535"/>
        <w:rPr>
          <w:rFonts w:ascii="Calibri" w:eastAsia="Times New Roman" w:hAnsi="Calibri" w:cstheme="minorHAnsi"/>
          <w:spacing w:val="-2"/>
          <w:sz w:val="20"/>
          <w:szCs w:val="20"/>
        </w:rPr>
      </w:pPr>
      <w:hyperlink r:id="rId385" w:history="1">
        <w:r w:rsidRPr="00F6140E">
          <w:rPr>
            <w:rStyle w:val="Hyperlink"/>
            <w:rFonts w:ascii="Calibri" w:eastAsia="Times New Roman" w:hAnsi="Calibri" w:cstheme="minorHAnsi"/>
            <w:spacing w:val="-2"/>
            <w:sz w:val="20"/>
            <w:szCs w:val="20"/>
          </w:rPr>
          <w:t>https://doi.org/10.1159/000477596</w:t>
        </w:r>
      </w:hyperlink>
      <w:r>
        <w:rPr>
          <w:rFonts w:ascii="Calibri" w:eastAsia="Times New Roman" w:hAnsi="Calibri" w:cstheme="minorHAnsi"/>
          <w:spacing w:val="-2"/>
          <w:sz w:val="20"/>
          <w:szCs w:val="20"/>
          <w:u w:val="single"/>
        </w:rPr>
        <w:t xml:space="preserve"> </w:t>
      </w:r>
      <w:r w:rsidRPr="00C10BBC">
        <w:rPr>
          <w:rFonts w:ascii="Calibri" w:eastAsia="Times New Roman" w:hAnsi="Calibri" w:cstheme="minorHAnsi"/>
          <w:spacing w:val="-2"/>
          <w:sz w:val="20"/>
          <w:szCs w:val="20"/>
        </w:rPr>
        <w:t>PMID:</w:t>
      </w:r>
      <w:hyperlink r:id="rId386" w:history="1">
        <w:r w:rsidRPr="009E6105">
          <w:rPr>
            <w:rStyle w:val="Hyperlink"/>
            <w:rFonts w:ascii="Calibri" w:eastAsia="Times New Roman" w:hAnsi="Calibri" w:cstheme="minorHAnsi"/>
            <w:spacing w:val="-2"/>
            <w:sz w:val="20"/>
            <w:szCs w:val="20"/>
          </w:rPr>
          <w:t>28578349</w:t>
        </w:r>
      </w:hyperlink>
    </w:p>
    <w:p w14:paraId="43807FB8"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191.</w:t>
      </w:r>
      <w:r w:rsidRPr="00C10BBC">
        <w:rPr>
          <w:rFonts w:ascii="Calibri" w:eastAsia="Times New Roman" w:hAnsi="Calibri" w:cstheme="minorHAnsi"/>
          <w:spacing w:val="-2"/>
          <w:sz w:val="20"/>
          <w:szCs w:val="20"/>
        </w:rPr>
        <w:tab/>
      </w:r>
      <w:bookmarkStart w:id="385" w:name="b191"/>
      <w:bookmarkStart w:id="386" w:name="idm1165823776"/>
      <w:bookmarkEnd w:id="385"/>
      <w:bookmarkEnd w:id="386"/>
      <w:r w:rsidRPr="00C10BBC">
        <w:rPr>
          <w:rFonts w:ascii="Calibri" w:eastAsia="Times New Roman" w:hAnsi="Calibri" w:cstheme="minorHAnsi"/>
          <w:spacing w:val="-2"/>
          <w:sz w:val="20"/>
          <w:szCs w:val="20"/>
        </w:rPr>
        <w:t xml:space="preserve">He ZQ, Liang C, Wang H, Wu ZG. Dysfunction of AQP7 in the periadventitial fat: A novel trigger of atherosclerosis. Med Hypotheses. 2008; 70:92-95. </w:t>
      </w:r>
    </w:p>
    <w:p w14:paraId="33B08126"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387" w:tgtFrame="_blank" w:history="1">
        <w:r w:rsidRPr="00C10BBC">
          <w:rPr>
            <w:rFonts w:ascii="Calibri" w:eastAsia="Times New Roman" w:hAnsi="Calibri" w:cstheme="minorHAnsi"/>
            <w:color w:val="0000FF"/>
            <w:spacing w:val="-2"/>
            <w:sz w:val="20"/>
            <w:szCs w:val="20"/>
            <w:u w:val="single"/>
          </w:rPr>
          <w:t>https://doi.org/10.1016/j.mehy.2007.04.022</w:t>
        </w:r>
      </w:hyperlink>
      <w:r w:rsidRPr="00C10BBC">
        <w:rPr>
          <w:rFonts w:ascii="Calibri" w:eastAsia="Times New Roman" w:hAnsi="Calibri" w:cstheme="minorHAnsi"/>
          <w:spacing w:val="-2"/>
          <w:sz w:val="20"/>
          <w:szCs w:val="20"/>
        </w:rPr>
        <w:t xml:space="preserve"> </w:t>
      </w:r>
    </w:p>
    <w:p w14:paraId="15575757"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388"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17562358</w:t>
        </w:r>
      </w:hyperlink>
      <w:r w:rsidRPr="00C10BBC">
        <w:rPr>
          <w:rFonts w:ascii="Calibri" w:eastAsia="Times New Roman" w:hAnsi="Calibri" w:cstheme="minorHAnsi"/>
          <w:spacing w:val="-2"/>
          <w:sz w:val="20"/>
          <w:szCs w:val="20"/>
        </w:rPr>
        <w:t xml:space="preserve"> </w:t>
      </w:r>
    </w:p>
    <w:p w14:paraId="52BE517D"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192.</w:t>
      </w:r>
      <w:r w:rsidRPr="00C10BBC">
        <w:rPr>
          <w:rFonts w:ascii="Calibri" w:eastAsia="Times New Roman" w:hAnsi="Calibri" w:cstheme="minorHAnsi"/>
          <w:spacing w:val="-2"/>
          <w:sz w:val="20"/>
          <w:szCs w:val="20"/>
        </w:rPr>
        <w:tab/>
      </w:r>
      <w:bookmarkStart w:id="387" w:name="b192"/>
      <w:bookmarkStart w:id="388" w:name="idm998895744"/>
      <w:bookmarkEnd w:id="387"/>
      <w:bookmarkEnd w:id="388"/>
      <w:r w:rsidRPr="00C10BBC">
        <w:rPr>
          <w:rFonts w:ascii="Calibri" w:eastAsia="Times New Roman" w:hAnsi="Calibri" w:cstheme="minorHAnsi"/>
          <w:spacing w:val="-2"/>
          <w:sz w:val="20"/>
          <w:szCs w:val="20"/>
        </w:rPr>
        <w:t xml:space="preserve">Farghaly HS, Metwalley KA, Raafat DM, Algowhary M, Said GM. Epicardial Fat Thickness in Children with Subclinical Hypothyroidism and Its Relationship to Subclinical Atherosclerosis: A Pilot Study. Horm Res Paediatr. 2019; 92:99-105. </w:t>
      </w:r>
    </w:p>
    <w:p w14:paraId="6A48FAAE"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389" w:tgtFrame="_blank" w:history="1">
        <w:r w:rsidRPr="00C10BBC">
          <w:rPr>
            <w:rFonts w:ascii="Calibri" w:eastAsia="Times New Roman" w:hAnsi="Calibri" w:cstheme="minorHAnsi"/>
            <w:color w:val="0000FF"/>
            <w:spacing w:val="-2"/>
            <w:sz w:val="20"/>
            <w:szCs w:val="20"/>
            <w:u w:val="single"/>
          </w:rPr>
          <w:t>https://doi.org/10.1159/000503287</w:t>
        </w:r>
      </w:hyperlink>
      <w:r w:rsidRPr="00C10BBC">
        <w:rPr>
          <w:rFonts w:ascii="Calibri" w:eastAsia="Times New Roman" w:hAnsi="Calibri" w:cstheme="minorHAnsi"/>
          <w:spacing w:val="-2"/>
          <w:sz w:val="20"/>
          <w:szCs w:val="20"/>
        </w:rPr>
        <w:t xml:space="preserve"> </w:t>
      </w:r>
    </w:p>
    <w:p w14:paraId="0CC5CFFD"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390"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31618734</w:t>
        </w:r>
      </w:hyperlink>
      <w:r w:rsidRPr="00C10BBC">
        <w:rPr>
          <w:rFonts w:ascii="Calibri" w:eastAsia="Times New Roman" w:hAnsi="Calibri" w:cstheme="minorHAnsi"/>
          <w:spacing w:val="-2"/>
          <w:sz w:val="20"/>
          <w:szCs w:val="20"/>
        </w:rPr>
        <w:t xml:space="preserve"> </w:t>
      </w:r>
    </w:p>
    <w:p w14:paraId="1BC8CA2B"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193.</w:t>
      </w:r>
      <w:r w:rsidRPr="00C10BBC">
        <w:rPr>
          <w:rFonts w:ascii="Calibri" w:eastAsia="Times New Roman" w:hAnsi="Calibri" w:cstheme="minorHAnsi"/>
          <w:spacing w:val="-2"/>
          <w:sz w:val="20"/>
          <w:szCs w:val="20"/>
        </w:rPr>
        <w:tab/>
      </w:r>
      <w:bookmarkStart w:id="389" w:name="b193"/>
      <w:bookmarkStart w:id="390" w:name="idm1138997248"/>
      <w:bookmarkEnd w:id="389"/>
      <w:bookmarkEnd w:id="390"/>
      <w:r w:rsidRPr="00C10BBC">
        <w:rPr>
          <w:rFonts w:ascii="Calibri" w:eastAsia="Times New Roman" w:hAnsi="Calibri" w:cstheme="minorHAnsi"/>
          <w:spacing w:val="-2"/>
          <w:sz w:val="20"/>
          <w:szCs w:val="20"/>
        </w:rPr>
        <w:t xml:space="preserve">Ishimaru K, Yoshioka K, Kano K, Kurano M, Saigusa D, Aoki J, Yatomi Y, Takuwa N, Okamoto Y, Proia RL, Takuwa Y. Sphingosine kinase-2 prevents macrophage cholesterol accumulation and atherosclerosis by stimulating autophagic lipid degradation. Sci Rep. 2019; 9:18329. </w:t>
      </w:r>
    </w:p>
    <w:p w14:paraId="0100A260"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391" w:tgtFrame="_blank" w:history="1">
        <w:r w:rsidRPr="00C10BBC">
          <w:rPr>
            <w:rFonts w:ascii="Calibri" w:eastAsia="Times New Roman" w:hAnsi="Calibri" w:cstheme="minorHAnsi"/>
            <w:color w:val="0000FF"/>
            <w:spacing w:val="-2"/>
            <w:sz w:val="20"/>
            <w:szCs w:val="20"/>
            <w:u w:val="single"/>
          </w:rPr>
          <w:t>https://doi.org/10.1038/s41598-019-54877-6</w:t>
        </w:r>
      </w:hyperlink>
      <w:r w:rsidRPr="00C10BBC">
        <w:rPr>
          <w:rFonts w:ascii="Calibri" w:eastAsia="Times New Roman" w:hAnsi="Calibri" w:cstheme="minorHAnsi"/>
          <w:spacing w:val="-2"/>
          <w:sz w:val="20"/>
          <w:szCs w:val="20"/>
        </w:rPr>
        <w:t xml:space="preserve"> </w:t>
      </w:r>
    </w:p>
    <w:p w14:paraId="1061ECAF"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392"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31797978</w:t>
        </w:r>
      </w:hyperlink>
      <w:r w:rsidRPr="00C10BBC">
        <w:rPr>
          <w:rFonts w:ascii="Calibri" w:eastAsia="Times New Roman" w:hAnsi="Calibri" w:cstheme="minorHAnsi"/>
          <w:spacing w:val="-2"/>
          <w:sz w:val="20"/>
          <w:szCs w:val="20"/>
        </w:rPr>
        <w:t xml:space="preserve"> </w:t>
      </w:r>
    </w:p>
    <w:p w14:paraId="17C1A4B5"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194.</w:t>
      </w:r>
      <w:r w:rsidRPr="00C10BBC">
        <w:rPr>
          <w:rFonts w:ascii="Calibri" w:eastAsia="Times New Roman" w:hAnsi="Calibri" w:cstheme="minorHAnsi"/>
          <w:spacing w:val="-2"/>
          <w:sz w:val="20"/>
          <w:szCs w:val="20"/>
        </w:rPr>
        <w:tab/>
      </w:r>
      <w:bookmarkStart w:id="391" w:name="b194"/>
      <w:bookmarkStart w:id="392" w:name="idm1168400928"/>
      <w:bookmarkEnd w:id="391"/>
      <w:bookmarkEnd w:id="392"/>
      <w:r w:rsidRPr="00C10BBC">
        <w:rPr>
          <w:rFonts w:ascii="Calibri" w:eastAsia="Times New Roman" w:hAnsi="Calibri" w:cstheme="minorHAnsi"/>
          <w:spacing w:val="-2"/>
          <w:sz w:val="20"/>
          <w:szCs w:val="20"/>
        </w:rPr>
        <w:t xml:space="preserve">Ellenbroek GH, van Puijvelde GH, Anas AA, Bot M, Asbach M, Schoneveld A, van Santbrink PJ, Foks AC, Timmers L, Doevendans PA, Pasterkamp G, Hoefer IE, van der Poll T, et al. Leukocyte TLR5 deficiency inhibits atherosclerosis by reduced macrophage recruitment and defective T-cell responsiveness. Sci Rep. 2017; 7:42688. </w:t>
      </w:r>
    </w:p>
    <w:p w14:paraId="7AD87C65"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393" w:tgtFrame="_blank" w:history="1">
        <w:r w:rsidRPr="00C10BBC">
          <w:rPr>
            <w:rFonts w:ascii="Calibri" w:eastAsia="Times New Roman" w:hAnsi="Calibri" w:cstheme="minorHAnsi"/>
            <w:color w:val="0000FF"/>
            <w:spacing w:val="-2"/>
            <w:sz w:val="20"/>
            <w:szCs w:val="20"/>
            <w:u w:val="single"/>
          </w:rPr>
          <w:t>https://doi.org/10.1038/srep42688</w:t>
        </w:r>
      </w:hyperlink>
      <w:r w:rsidRPr="00C10BBC">
        <w:rPr>
          <w:rFonts w:ascii="Calibri" w:eastAsia="Times New Roman" w:hAnsi="Calibri" w:cstheme="minorHAnsi"/>
          <w:spacing w:val="-2"/>
          <w:sz w:val="20"/>
          <w:szCs w:val="20"/>
        </w:rPr>
        <w:t xml:space="preserve"> </w:t>
      </w:r>
    </w:p>
    <w:p w14:paraId="5E291F92"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394"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28202909</w:t>
        </w:r>
      </w:hyperlink>
      <w:r w:rsidRPr="00C10BBC">
        <w:rPr>
          <w:rFonts w:ascii="Calibri" w:eastAsia="Times New Roman" w:hAnsi="Calibri" w:cstheme="minorHAnsi"/>
          <w:spacing w:val="-2"/>
          <w:sz w:val="20"/>
          <w:szCs w:val="20"/>
        </w:rPr>
        <w:t xml:space="preserve"> </w:t>
      </w:r>
    </w:p>
    <w:p w14:paraId="6AAD0345"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195.</w:t>
      </w:r>
      <w:r w:rsidRPr="00C10BBC">
        <w:rPr>
          <w:rFonts w:ascii="Calibri" w:eastAsia="Times New Roman" w:hAnsi="Calibri" w:cstheme="minorHAnsi"/>
          <w:spacing w:val="-2"/>
          <w:sz w:val="20"/>
          <w:szCs w:val="20"/>
        </w:rPr>
        <w:tab/>
      </w:r>
      <w:bookmarkStart w:id="393" w:name="b195"/>
      <w:bookmarkStart w:id="394" w:name="idm1140449312"/>
      <w:bookmarkEnd w:id="393"/>
      <w:bookmarkEnd w:id="394"/>
      <w:r w:rsidRPr="00C10BBC">
        <w:rPr>
          <w:rFonts w:ascii="Calibri" w:eastAsia="Times New Roman" w:hAnsi="Calibri" w:cstheme="minorHAnsi"/>
          <w:spacing w:val="-2"/>
          <w:sz w:val="20"/>
          <w:szCs w:val="20"/>
        </w:rPr>
        <w:t xml:space="preserve">Suarez-Martinez E, Husain K, Ferder L. Adiponectin expression and the cardioprotective role of the vitamin D receptor activator paricalcitol and the angiotensin converting enzyme inhibitor enalapril in ApoE-deficient mice. Ther Adv Cardiovasc Dis. 2014; 8:224-36. </w:t>
      </w:r>
    </w:p>
    <w:p w14:paraId="0A63691A"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395" w:tgtFrame="_blank" w:history="1">
        <w:r w:rsidRPr="00C10BBC">
          <w:rPr>
            <w:rFonts w:ascii="Calibri" w:eastAsia="Times New Roman" w:hAnsi="Calibri" w:cstheme="minorHAnsi"/>
            <w:color w:val="0000FF"/>
            <w:spacing w:val="-2"/>
            <w:sz w:val="20"/>
            <w:szCs w:val="20"/>
            <w:u w:val="single"/>
          </w:rPr>
          <w:t>https://doi.org/10.1177/1753944714542593</w:t>
        </w:r>
      </w:hyperlink>
      <w:r w:rsidRPr="00C10BBC">
        <w:rPr>
          <w:rFonts w:ascii="Calibri" w:eastAsia="Times New Roman" w:hAnsi="Calibri" w:cstheme="minorHAnsi"/>
          <w:spacing w:val="-2"/>
          <w:sz w:val="20"/>
          <w:szCs w:val="20"/>
        </w:rPr>
        <w:t xml:space="preserve"> </w:t>
      </w:r>
    </w:p>
    <w:p w14:paraId="22C3C7AA"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396"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25037058</w:t>
        </w:r>
      </w:hyperlink>
      <w:r w:rsidRPr="00C10BBC">
        <w:rPr>
          <w:rFonts w:ascii="Calibri" w:eastAsia="Times New Roman" w:hAnsi="Calibri" w:cstheme="minorHAnsi"/>
          <w:spacing w:val="-2"/>
          <w:sz w:val="20"/>
          <w:szCs w:val="20"/>
        </w:rPr>
        <w:t xml:space="preserve"> </w:t>
      </w:r>
    </w:p>
    <w:p w14:paraId="4BCF8798"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196.</w:t>
      </w:r>
      <w:r w:rsidRPr="00C10BBC">
        <w:rPr>
          <w:rFonts w:ascii="Calibri" w:eastAsia="Times New Roman" w:hAnsi="Calibri" w:cstheme="minorHAnsi"/>
          <w:spacing w:val="-2"/>
          <w:sz w:val="20"/>
          <w:szCs w:val="20"/>
        </w:rPr>
        <w:tab/>
      </w:r>
      <w:bookmarkStart w:id="395" w:name="b196"/>
      <w:bookmarkStart w:id="396" w:name="idm1140434608"/>
      <w:bookmarkEnd w:id="395"/>
      <w:bookmarkEnd w:id="396"/>
      <w:r w:rsidRPr="00C10BBC">
        <w:rPr>
          <w:rFonts w:ascii="Calibri" w:eastAsia="Times New Roman" w:hAnsi="Calibri" w:cstheme="minorHAnsi"/>
          <w:spacing w:val="-2"/>
          <w:sz w:val="20"/>
          <w:szCs w:val="20"/>
        </w:rPr>
        <w:t xml:space="preserve">Wang J, Sun C, Gerdes N, Liu C, Liao M, Liu J, Shi MA, He A, Zhou Y, Sukhova GK, Chen H, Cheng XW, Kuzuya M, et al. Interleukin 18 function in atherosclerosis is mediated by the interleukin 18 receptor and the Na-Cl co-transporter. Nat Med. 2015; 21:820-26. </w:t>
      </w:r>
    </w:p>
    <w:p w14:paraId="7391ACF4"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397" w:tgtFrame="_blank" w:history="1">
        <w:r w:rsidRPr="00C10BBC">
          <w:rPr>
            <w:rFonts w:ascii="Calibri" w:eastAsia="Times New Roman" w:hAnsi="Calibri" w:cstheme="minorHAnsi"/>
            <w:color w:val="0000FF"/>
            <w:spacing w:val="-2"/>
            <w:sz w:val="20"/>
            <w:szCs w:val="20"/>
            <w:u w:val="single"/>
          </w:rPr>
          <w:t>https://doi.org/10.1038/nm.3890</w:t>
        </w:r>
      </w:hyperlink>
      <w:r w:rsidRPr="00C10BBC">
        <w:rPr>
          <w:rFonts w:ascii="Calibri" w:eastAsia="Times New Roman" w:hAnsi="Calibri" w:cstheme="minorHAnsi"/>
          <w:spacing w:val="-2"/>
          <w:sz w:val="20"/>
          <w:szCs w:val="20"/>
        </w:rPr>
        <w:t xml:space="preserve"> </w:t>
      </w:r>
    </w:p>
    <w:p w14:paraId="36A50B92"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398"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26099046</w:t>
        </w:r>
      </w:hyperlink>
      <w:r w:rsidRPr="00C10BBC">
        <w:rPr>
          <w:rFonts w:ascii="Calibri" w:eastAsia="Times New Roman" w:hAnsi="Calibri" w:cstheme="minorHAnsi"/>
          <w:spacing w:val="-2"/>
          <w:sz w:val="20"/>
          <w:szCs w:val="20"/>
        </w:rPr>
        <w:t xml:space="preserve"> </w:t>
      </w:r>
    </w:p>
    <w:p w14:paraId="74B9AE56"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197.</w:t>
      </w:r>
      <w:r w:rsidRPr="00C10BBC">
        <w:rPr>
          <w:rFonts w:ascii="Calibri" w:eastAsia="Times New Roman" w:hAnsi="Calibri" w:cstheme="minorHAnsi"/>
          <w:spacing w:val="-2"/>
          <w:sz w:val="20"/>
          <w:szCs w:val="20"/>
        </w:rPr>
        <w:tab/>
      </w:r>
      <w:bookmarkStart w:id="397" w:name="b197"/>
      <w:bookmarkStart w:id="398" w:name="idm1001353792"/>
      <w:bookmarkEnd w:id="397"/>
      <w:bookmarkEnd w:id="398"/>
      <w:r w:rsidRPr="00C10BBC">
        <w:rPr>
          <w:rFonts w:ascii="Calibri" w:eastAsia="Times New Roman" w:hAnsi="Calibri" w:cstheme="minorHAnsi"/>
          <w:spacing w:val="-2"/>
          <w:sz w:val="20"/>
          <w:szCs w:val="20"/>
        </w:rPr>
        <w:t xml:space="preserve">Tumurkhuu G, Dagvadorj J, Porritt RA, Crother TR, Shimada K, Tarling EJ, Erbay E, Arditi M, Chen S. Chlamydia pneumoniae Hijacks a Host Autoregulatory IL-1? Loop to Drive Foam Cell Formation and Accelerate Atherosclerosis. Cell Metab. 2018; 28:432-448.e4. </w:t>
      </w:r>
    </w:p>
    <w:p w14:paraId="12621254"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399" w:tgtFrame="_blank" w:history="1">
        <w:r w:rsidRPr="00C10BBC">
          <w:rPr>
            <w:rFonts w:ascii="Calibri" w:eastAsia="Times New Roman" w:hAnsi="Calibri" w:cstheme="minorHAnsi"/>
            <w:color w:val="0000FF"/>
            <w:spacing w:val="-2"/>
            <w:sz w:val="20"/>
            <w:szCs w:val="20"/>
            <w:u w:val="single"/>
          </w:rPr>
          <w:t>https://doi.org/10.1016/j.cmet.2018.05.027</w:t>
        </w:r>
      </w:hyperlink>
      <w:r w:rsidRPr="00C10BBC">
        <w:rPr>
          <w:rFonts w:ascii="Calibri" w:eastAsia="Times New Roman" w:hAnsi="Calibri" w:cstheme="minorHAnsi"/>
          <w:spacing w:val="-2"/>
          <w:sz w:val="20"/>
          <w:szCs w:val="20"/>
        </w:rPr>
        <w:t xml:space="preserve"> </w:t>
      </w:r>
    </w:p>
    <w:p w14:paraId="5765E85F"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400"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29937375</w:t>
        </w:r>
      </w:hyperlink>
      <w:r w:rsidRPr="00C10BBC">
        <w:rPr>
          <w:rFonts w:ascii="Calibri" w:eastAsia="Times New Roman" w:hAnsi="Calibri" w:cstheme="minorHAnsi"/>
          <w:spacing w:val="-2"/>
          <w:sz w:val="20"/>
          <w:szCs w:val="20"/>
        </w:rPr>
        <w:t xml:space="preserve"> </w:t>
      </w:r>
    </w:p>
    <w:p w14:paraId="7B9065C4"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198.</w:t>
      </w:r>
      <w:r w:rsidRPr="00C10BBC">
        <w:rPr>
          <w:rFonts w:ascii="Calibri" w:eastAsia="Times New Roman" w:hAnsi="Calibri" w:cstheme="minorHAnsi"/>
          <w:spacing w:val="-2"/>
          <w:sz w:val="20"/>
          <w:szCs w:val="20"/>
        </w:rPr>
        <w:tab/>
      </w:r>
      <w:bookmarkStart w:id="399" w:name="b198"/>
      <w:bookmarkStart w:id="400" w:name="idm1138080304"/>
      <w:bookmarkEnd w:id="399"/>
      <w:bookmarkEnd w:id="400"/>
      <w:r w:rsidRPr="00C10BBC">
        <w:rPr>
          <w:rFonts w:ascii="Calibri" w:eastAsia="Times New Roman" w:hAnsi="Calibri" w:cstheme="minorHAnsi"/>
          <w:spacing w:val="-2"/>
          <w:sz w:val="20"/>
          <w:szCs w:val="20"/>
        </w:rPr>
        <w:t xml:space="preserve">Dong C, Beecham A, Wang L, Blanton SH, Rundek T, Sacco RL. Follow-up association study of linkage regions reveals multiple candidate genes for carotid plaque in Dominicans. Atherosclerosis. 2012; 223:177-83. </w:t>
      </w:r>
    </w:p>
    <w:p w14:paraId="6D9D0790"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401" w:tgtFrame="_blank" w:history="1">
        <w:r w:rsidRPr="00C10BBC">
          <w:rPr>
            <w:rFonts w:ascii="Calibri" w:eastAsia="Times New Roman" w:hAnsi="Calibri" w:cstheme="minorHAnsi"/>
            <w:color w:val="0000FF"/>
            <w:spacing w:val="-2"/>
            <w:sz w:val="20"/>
            <w:szCs w:val="20"/>
            <w:u w:val="single"/>
          </w:rPr>
          <w:t>https://doi.org/10.1016/j.atherosclerosis.2012.03.025</w:t>
        </w:r>
      </w:hyperlink>
      <w:r w:rsidRPr="00C10BBC">
        <w:rPr>
          <w:rFonts w:ascii="Calibri" w:eastAsia="Times New Roman" w:hAnsi="Calibri" w:cstheme="minorHAnsi"/>
          <w:spacing w:val="-2"/>
          <w:sz w:val="20"/>
          <w:szCs w:val="20"/>
        </w:rPr>
        <w:t xml:space="preserve"> </w:t>
      </w:r>
    </w:p>
    <w:p w14:paraId="3C3806CA"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402"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22503546</w:t>
        </w:r>
      </w:hyperlink>
      <w:r w:rsidRPr="00C10BBC">
        <w:rPr>
          <w:rFonts w:ascii="Calibri" w:eastAsia="Times New Roman" w:hAnsi="Calibri" w:cstheme="minorHAnsi"/>
          <w:spacing w:val="-2"/>
          <w:sz w:val="20"/>
          <w:szCs w:val="20"/>
        </w:rPr>
        <w:t xml:space="preserve"> </w:t>
      </w:r>
    </w:p>
    <w:p w14:paraId="4C694761"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199.</w:t>
      </w:r>
      <w:r w:rsidRPr="00C10BBC">
        <w:rPr>
          <w:rFonts w:ascii="Calibri" w:eastAsia="Times New Roman" w:hAnsi="Calibri" w:cstheme="minorHAnsi"/>
          <w:spacing w:val="-2"/>
          <w:sz w:val="20"/>
          <w:szCs w:val="20"/>
        </w:rPr>
        <w:tab/>
      </w:r>
      <w:bookmarkStart w:id="401" w:name="b199"/>
      <w:bookmarkStart w:id="402" w:name="idm1163012752"/>
      <w:bookmarkEnd w:id="401"/>
      <w:bookmarkEnd w:id="402"/>
      <w:r w:rsidRPr="00C10BBC">
        <w:rPr>
          <w:rFonts w:ascii="Calibri" w:eastAsia="Times New Roman" w:hAnsi="Calibri" w:cstheme="minorHAnsi"/>
          <w:spacing w:val="-2"/>
          <w:sz w:val="20"/>
          <w:szCs w:val="20"/>
        </w:rPr>
        <w:t xml:space="preserve">Borborema ME, Crovella S, Oliveira D, de Azevedo Silva J. Inflammasome activation by NLRP1 and NLRC4 in patients with coronary stenosis. Immunobiology. 2020; 225:151940. </w:t>
      </w:r>
    </w:p>
    <w:p w14:paraId="7DE41F76"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403" w:tgtFrame="_blank" w:history="1">
        <w:r w:rsidRPr="00C10BBC">
          <w:rPr>
            <w:rFonts w:ascii="Calibri" w:eastAsia="Times New Roman" w:hAnsi="Calibri" w:cstheme="minorHAnsi"/>
            <w:color w:val="0000FF"/>
            <w:spacing w:val="-2"/>
            <w:sz w:val="20"/>
            <w:szCs w:val="20"/>
            <w:u w:val="single"/>
          </w:rPr>
          <w:t>https://doi.org/10.1016/j.imbio.2020.151940</w:t>
        </w:r>
      </w:hyperlink>
      <w:r w:rsidRPr="00C10BBC">
        <w:rPr>
          <w:rFonts w:ascii="Calibri" w:eastAsia="Times New Roman" w:hAnsi="Calibri" w:cstheme="minorHAnsi"/>
          <w:spacing w:val="-2"/>
          <w:sz w:val="20"/>
          <w:szCs w:val="20"/>
        </w:rPr>
        <w:t xml:space="preserve"> </w:t>
      </w:r>
    </w:p>
    <w:p w14:paraId="33980028"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404"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32276737</w:t>
        </w:r>
      </w:hyperlink>
      <w:r w:rsidRPr="00C10BBC">
        <w:rPr>
          <w:rFonts w:ascii="Calibri" w:eastAsia="Times New Roman" w:hAnsi="Calibri" w:cstheme="minorHAnsi"/>
          <w:spacing w:val="-2"/>
          <w:sz w:val="20"/>
          <w:szCs w:val="20"/>
        </w:rPr>
        <w:t xml:space="preserve"> </w:t>
      </w:r>
    </w:p>
    <w:p w14:paraId="694AD5F8"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200.</w:t>
      </w:r>
      <w:r w:rsidRPr="00C10BBC">
        <w:rPr>
          <w:rFonts w:ascii="Calibri" w:eastAsia="Times New Roman" w:hAnsi="Calibri" w:cstheme="minorHAnsi"/>
          <w:spacing w:val="-2"/>
          <w:sz w:val="20"/>
          <w:szCs w:val="20"/>
        </w:rPr>
        <w:tab/>
      </w:r>
      <w:bookmarkStart w:id="403" w:name="b200"/>
      <w:bookmarkStart w:id="404" w:name="idm1142962368"/>
      <w:bookmarkEnd w:id="403"/>
      <w:bookmarkEnd w:id="404"/>
      <w:r w:rsidRPr="00C10BBC">
        <w:rPr>
          <w:rFonts w:ascii="Calibri" w:eastAsia="Times New Roman" w:hAnsi="Calibri" w:cstheme="minorHAnsi"/>
          <w:spacing w:val="-2"/>
          <w:sz w:val="20"/>
          <w:szCs w:val="20"/>
        </w:rPr>
        <w:t xml:space="preserve">Mehta NU, Grijalva V, Hama S, Wagner A, Navab M, Fogelman AM, Reddy ST, Apolipoprotein E. Apolipoprotein E-/- Mice Lacking Hemopexin Develop Increased Atherosclerosis via Mechanisms That Include Oxidative Stress and Altered Macrophage Function. Arterioscler Thromb Vasc Biol. 2016; 36:1152-63. </w:t>
      </w:r>
    </w:p>
    <w:p w14:paraId="76FF8A52"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405" w:tgtFrame="_blank" w:history="1">
        <w:r w:rsidRPr="00C10BBC">
          <w:rPr>
            <w:rFonts w:ascii="Calibri" w:eastAsia="Times New Roman" w:hAnsi="Calibri" w:cstheme="minorHAnsi"/>
            <w:color w:val="0000FF"/>
            <w:spacing w:val="-2"/>
            <w:sz w:val="20"/>
            <w:szCs w:val="20"/>
            <w:u w:val="single"/>
          </w:rPr>
          <w:t>https://doi.org/10.1161/ATVBAHA.115.306991</w:t>
        </w:r>
      </w:hyperlink>
      <w:r w:rsidRPr="00C10BBC">
        <w:rPr>
          <w:rFonts w:ascii="Calibri" w:eastAsia="Times New Roman" w:hAnsi="Calibri" w:cstheme="minorHAnsi"/>
          <w:spacing w:val="-2"/>
          <w:sz w:val="20"/>
          <w:szCs w:val="20"/>
        </w:rPr>
        <w:t xml:space="preserve"> </w:t>
      </w:r>
    </w:p>
    <w:p w14:paraId="446A55F6"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406"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27079878</w:t>
        </w:r>
      </w:hyperlink>
    </w:p>
    <w:p w14:paraId="3E70A70B"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201.</w:t>
      </w:r>
      <w:r w:rsidRPr="00C10BBC">
        <w:rPr>
          <w:rFonts w:ascii="Calibri" w:eastAsia="Times New Roman" w:hAnsi="Calibri" w:cstheme="minorHAnsi"/>
          <w:spacing w:val="-2"/>
          <w:sz w:val="20"/>
          <w:szCs w:val="20"/>
        </w:rPr>
        <w:tab/>
      </w:r>
      <w:bookmarkStart w:id="405" w:name="b201"/>
      <w:bookmarkStart w:id="406" w:name="idm972865872"/>
      <w:bookmarkEnd w:id="405"/>
      <w:bookmarkEnd w:id="406"/>
      <w:r w:rsidRPr="00C10BBC">
        <w:rPr>
          <w:rFonts w:ascii="Calibri" w:eastAsia="Times New Roman" w:hAnsi="Calibri" w:cstheme="minorHAnsi"/>
          <w:spacing w:val="-2"/>
          <w:sz w:val="20"/>
          <w:szCs w:val="20"/>
        </w:rPr>
        <w:t xml:space="preserve">Wigren M, Bengtsson D, Duner P, Olofsson K, Bjorkbacka H, Bengtsson E, Fredrikson GN, Nilsson J. Atheroprotective effects of Alum are associated with capture of oxidized LDL antigens and activation of regulatory T cells. Circ Res. 2009; 104:e62-70. </w:t>
      </w:r>
    </w:p>
    <w:p w14:paraId="02C52153"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407" w:tgtFrame="_blank" w:history="1">
        <w:r w:rsidRPr="00C10BBC">
          <w:rPr>
            <w:rFonts w:ascii="Calibri" w:eastAsia="Times New Roman" w:hAnsi="Calibri" w:cstheme="minorHAnsi"/>
            <w:color w:val="0000FF"/>
            <w:spacing w:val="-2"/>
            <w:sz w:val="20"/>
            <w:szCs w:val="20"/>
            <w:u w:val="single"/>
          </w:rPr>
          <w:t>https://doi.org/10.1161/CIRCRESAHA.109.196667</w:t>
        </w:r>
      </w:hyperlink>
      <w:r w:rsidRPr="00C10BBC">
        <w:rPr>
          <w:rFonts w:ascii="Calibri" w:eastAsia="Times New Roman" w:hAnsi="Calibri" w:cstheme="minorHAnsi"/>
          <w:spacing w:val="-2"/>
          <w:sz w:val="20"/>
          <w:szCs w:val="20"/>
        </w:rPr>
        <w:t xml:space="preserve"> </w:t>
      </w:r>
    </w:p>
    <w:p w14:paraId="5F9C15D6"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408"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19478203</w:t>
        </w:r>
      </w:hyperlink>
      <w:r w:rsidRPr="00C10BBC">
        <w:rPr>
          <w:rFonts w:ascii="Calibri" w:eastAsia="Times New Roman" w:hAnsi="Calibri" w:cstheme="minorHAnsi"/>
          <w:spacing w:val="-2"/>
          <w:sz w:val="20"/>
          <w:szCs w:val="20"/>
        </w:rPr>
        <w:t xml:space="preserve"> </w:t>
      </w:r>
    </w:p>
    <w:p w14:paraId="01FEA4CA"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202.</w:t>
      </w:r>
      <w:r w:rsidRPr="00C10BBC">
        <w:rPr>
          <w:rFonts w:ascii="Calibri" w:eastAsia="Times New Roman" w:hAnsi="Calibri" w:cstheme="minorHAnsi"/>
          <w:spacing w:val="-2"/>
          <w:sz w:val="20"/>
          <w:szCs w:val="20"/>
        </w:rPr>
        <w:tab/>
      </w:r>
      <w:bookmarkStart w:id="407" w:name="b202"/>
      <w:bookmarkStart w:id="408" w:name="idm1160156320"/>
      <w:bookmarkEnd w:id="407"/>
      <w:bookmarkEnd w:id="408"/>
      <w:r w:rsidRPr="00C10BBC">
        <w:rPr>
          <w:rFonts w:ascii="Calibri" w:eastAsia="Times New Roman" w:hAnsi="Calibri" w:cstheme="minorHAnsi"/>
          <w:spacing w:val="-2"/>
          <w:sz w:val="20"/>
          <w:szCs w:val="20"/>
        </w:rPr>
        <w:t xml:space="preserve">Chen Q, Xiang J, Gong R, Fang HY, Xu CC, Zhang HZ, Wu YQ. Atorvastatin downregulates HSP22 expression in an atherosclerotic model in vitro and in vivo. Int J Mol Med. 2019; 43:821-29. </w:t>
      </w:r>
    </w:p>
    <w:p w14:paraId="21048F09"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409" w:tgtFrame="_blank" w:history="1">
        <w:r w:rsidRPr="00C10BBC">
          <w:rPr>
            <w:rFonts w:ascii="Calibri" w:eastAsia="Times New Roman" w:hAnsi="Calibri" w:cstheme="minorHAnsi"/>
            <w:color w:val="0000FF"/>
            <w:spacing w:val="-2"/>
            <w:sz w:val="20"/>
            <w:szCs w:val="20"/>
            <w:u w:val="single"/>
          </w:rPr>
          <w:t>https://doi.org/10.3892/ijmm.2018.4015</w:t>
        </w:r>
      </w:hyperlink>
      <w:r w:rsidRPr="00C10BBC">
        <w:rPr>
          <w:rFonts w:ascii="Calibri" w:eastAsia="Times New Roman" w:hAnsi="Calibri" w:cstheme="minorHAnsi"/>
          <w:spacing w:val="-2"/>
          <w:sz w:val="20"/>
          <w:szCs w:val="20"/>
        </w:rPr>
        <w:t xml:space="preserve"> </w:t>
      </w:r>
    </w:p>
    <w:p w14:paraId="46F001D8"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410"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30535427</w:t>
        </w:r>
      </w:hyperlink>
      <w:r w:rsidRPr="00C10BBC">
        <w:rPr>
          <w:rFonts w:ascii="Calibri" w:eastAsia="Times New Roman" w:hAnsi="Calibri" w:cstheme="minorHAnsi"/>
          <w:spacing w:val="-2"/>
          <w:sz w:val="20"/>
          <w:szCs w:val="20"/>
        </w:rPr>
        <w:t xml:space="preserve"> </w:t>
      </w:r>
    </w:p>
    <w:p w14:paraId="0083A772"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203.</w:t>
      </w:r>
      <w:r w:rsidRPr="00C10BBC">
        <w:rPr>
          <w:rFonts w:ascii="Calibri" w:eastAsia="Times New Roman" w:hAnsi="Calibri" w:cstheme="minorHAnsi"/>
          <w:spacing w:val="-2"/>
          <w:sz w:val="20"/>
          <w:szCs w:val="20"/>
        </w:rPr>
        <w:tab/>
      </w:r>
      <w:bookmarkStart w:id="409" w:name="b203"/>
      <w:bookmarkStart w:id="410" w:name="idm1142401184"/>
      <w:bookmarkEnd w:id="409"/>
      <w:bookmarkEnd w:id="410"/>
      <w:r w:rsidRPr="00C10BBC">
        <w:rPr>
          <w:rFonts w:ascii="Calibri" w:eastAsia="Times New Roman" w:hAnsi="Calibri" w:cstheme="minorHAnsi"/>
          <w:spacing w:val="-2"/>
          <w:sz w:val="20"/>
          <w:szCs w:val="20"/>
        </w:rPr>
        <w:t xml:space="preserve">Zhang M, Qu X, Yuan F, Yang Y, Xu L, Dai J, Wang W, Fei J, Hou X, Fang W. Ghrelin receptor deficiency aggravates atherosclerotic plaque instability. Front Biosci. 2015; 20:604-13. </w:t>
      </w:r>
    </w:p>
    <w:p w14:paraId="55BB6A13"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411" w:tgtFrame="_blank" w:history="1">
        <w:r w:rsidRPr="00C10BBC">
          <w:rPr>
            <w:rFonts w:ascii="Calibri" w:eastAsia="Times New Roman" w:hAnsi="Calibri" w:cstheme="minorHAnsi"/>
            <w:color w:val="0000FF"/>
            <w:spacing w:val="-2"/>
            <w:sz w:val="20"/>
            <w:szCs w:val="20"/>
            <w:u w:val="single"/>
          </w:rPr>
          <w:t>https://doi.org/10.2741/4325</w:t>
        </w:r>
      </w:hyperlink>
      <w:r w:rsidRPr="00C10BBC">
        <w:rPr>
          <w:rFonts w:ascii="Calibri" w:eastAsia="Times New Roman" w:hAnsi="Calibri" w:cstheme="minorHAnsi"/>
          <w:spacing w:val="-2"/>
          <w:sz w:val="20"/>
          <w:szCs w:val="20"/>
        </w:rPr>
        <w:t xml:space="preserve"> </w:t>
      </w:r>
    </w:p>
    <w:p w14:paraId="11E13472"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412"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25553467</w:t>
        </w:r>
      </w:hyperlink>
      <w:r w:rsidRPr="00C10BBC">
        <w:rPr>
          <w:rFonts w:ascii="Calibri" w:eastAsia="Times New Roman" w:hAnsi="Calibri" w:cstheme="minorHAnsi"/>
          <w:spacing w:val="-2"/>
          <w:sz w:val="20"/>
          <w:szCs w:val="20"/>
        </w:rPr>
        <w:t xml:space="preserve"> </w:t>
      </w:r>
    </w:p>
    <w:p w14:paraId="07A5BAAE"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204.</w:t>
      </w:r>
      <w:r w:rsidRPr="00C10BBC">
        <w:rPr>
          <w:rFonts w:ascii="Calibri" w:eastAsia="Times New Roman" w:hAnsi="Calibri" w:cstheme="minorHAnsi"/>
          <w:spacing w:val="-2"/>
          <w:sz w:val="20"/>
          <w:szCs w:val="20"/>
        </w:rPr>
        <w:tab/>
      </w:r>
      <w:bookmarkStart w:id="411" w:name="b204"/>
      <w:bookmarkStart w:id="412" w:name="idm1166823232"/>
      <w:bookmarkEnd w:id="411"/>
      <w:bookmarkEnd w:id="412"/>
      <w:r w:rsidRPr="00C10BBC">
        <w:rPr>
          <w:rFonts w:ascii="Calibri" w:eastAsia="Times New Roman" w:hAnsi="Calibri" w:cstheme="minorHAnsi"/>
          <w:spacing w:val="-2"/>
          <w:sz w:val="20"/>
          <w:szCs w:val="20"/>
        </w:rPr>
        <w:t xml:space="preserve">Sakamoto A, Sugamoto Y, Tokunaga Y, Yoshimuta T, Hayashi K, Konno T, Kawashiri MA, Takeda Y, Yamagishi M. Expression profiling of the ephrin (EFN) and Eph receptor (EPH) family of genes in atherosclerosis-related human cells. J Int Med Res. 2011; 39:522-27. </w:t>
      </w:r>
    </w:p>
    <w:p w14:paraId="7BF760B3"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413" w:tgtFrame="_blank" w:history="1">
        <w:r w:rsidRPr="00C10BBC">
          <w:rPr>
            <w:rFonts w:ascii="Calibri" w:eastAsia="Times New Roman" w:hAnsi="Calibri" w:cstheme="minorHAnsi"/>
            <w:color w:val="0000FF"/>
            <w:spacing w:val="-2"/>
            <w:sz w:val="20"/>
            <w:szCs w:val="20"/>
            <w:u w:val="single"/>
          </w:rPr>
          <w:t>https://doi.org/10.1177/147323001103900220</w:t>
        </w:r>
      </w:hyperlink>
      <w:r w:rsidRPr="00C10BBC">
        <w:rPr>
          <w:rFonts w:ascii="Calibri" w:eastAsia="Times New Roman" w:hAnsi="Calibri" w:cstheme="minorHAnsi"/>
          <w:spacing w:val="-2"/>
          <w:sz w:val="20"/>
          <w:szCs w:val="20"/>
        </w:rPr>
        <w:t xml:space="preserve"> </w:t>
      </w:r>
    </w:p>
    <w:p w14:paraId="5C45BBC5"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414"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21672356</w:t>
        </w:r>
      </w:hyperlink>
      <w:r w:rsidRPr="00C10BBC">
        <w:rPr>
          <w:rFonts w:ascii="Calibri" w:eastAsia="Times New Roman" w:hAnsi="Calibri" w:cstheme="minorHAnsi"/>
          <w:spacing w:val="-2"/>
          <w:sz w:val="20"/>
          <w:szCs w:val="20"/>
        </w:rPr>
        <w:t xml:space="preserve"> </w:t>
      </w:r>
    </w:p>
    <w:p w14:paraId="7A41616F"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205.</w:t>
      </w:r>
      <w:r w:rsidRPr="00C10BBC">
        <w:rPr>
          <w:rFonts w:ascii="Calibri" w:eastAsia="Times New Roman" w:hAnsi="Calibri" w:cstheme="minorHAnsi"/>
          <w:spacing w:val="-2"/>
          <w:sz w:val="20"/>
          <w:szCs w:val="20"/>
        </w:rPr>
        <w:tab/>
      </w:r>
      <w:bookmarkStart w:id="413" w:name="b205"/>
      <w:bookmarkStart w:id="414" w:name="idm1155834352"/>
      <w:bookmarkEnd w:id="413"/>
      <w:bookmarkEnd w:id="414"/>
      <w:r w:rsidRPr="00C10BBC">
        <w:rPr>
          <w:rFonts w:ascii="Calibri" w:eastAsia="Times New Roman" w:hAnsi="Calibri" w:cstheme="minorHAnsi"/>
          <w:spacing w:val="-2"/>
          <w:sz w:val="20"/>
          <w:szCs w:val="20"/>
        </w:rPr>
        <w:t xml:space="preserve">Han X, Kitamoto S, Lian Q, Boisvert WA. Interleukin-10 facilitates both cholesterol uptake and efflux in macrophages. J Biol Chem. 2009; 284:32950-58. </w:t>
      </w:r>
    </w:p>
    <w:p w14:paraId="3943DC9B"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415" w:tgtFrame="_blank" w:history="1">
        <w:r w:rsidRPr="00C10BBC">
          <w:rPr>
            <w:rFonts w:ascii="Calibri" w:eastAsia="Times New Roman" w:hAnsi="Calibri" w:cstheme="minorHAnsi"/>
            <w:color w:val="0000FF"/>
            <w:spacing w:val="-2"/>
            <w:sz w:val="20"/>
            <w:szCs w:val="20"/>
            <w:u w:val="single"/>
          </w:rPr>
          <w:t>https://doi.org/10.1074/jbc.M109.040899</w:t>
        </w:r>
      </w:hyperlink>
      <w:r w:rsidRPr="00C10BBC">
        <w:rPr>
          <w:rFonts w:ascii="Calibri" w:eastAsia="Times New Roman" w:hAnsi="Calibri" w:cstheme="minorHAnsi"/>
          <w:spacing w:val="-2"/>
          <w:sz w:val="20"/>
          <w:szCs w:val="20"/>
        </w:rPr>
        <w:t xml:space="preserve"> </w:t>
      </w:r>
    </w:p>
    <w:p w14:paraId="7B72F4C1"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416"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19776020</w:t>
        </w:r>
      </w:hyperlink>
      <w:r w:rsidRPr="00C10BBC">
        <w:rPr>
          <w:rFonts w:ascii="Calibri" w:eastAsia="Times New Roman" w:hAnsi="Calibri" w:cstheme="minorHAnsi"/>
          <w:spacing w:val="-2"/>
          <w:sz w:val="20"/>
          <w:szCs w:val="20"/>
        </w:rPr>
        <w:t xml:space="preserve"> </w:t>
      </w:r>
    </w:p>
    <w:p w14:paraId="04249723"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206.</w:t>
      </w:r>
      <w:r w:rsidRPr="00C10BBC">
        <w:rPr>
          <w:rFonts w:ascii="Calibri" w:eastAsia="Times New Roman" w:hAnsi="Calibri" w:cstheme="minorHAnsi"/>
          <w:spacing w:val="-2"/>
          <w:sz w:val="20"/>
          <w:szCs w:val="20"/>
        </w:rPr>
        <w:tab/>
      </w:r>
      <w:bookmarkStart w:id="415" w:name="b206"/>
      <w:bookmarkStart w:id="416" w:name="idm1013507040"/>
      <w:bookmarkEnd w:id="415"/>
      <w:bookmarkEnd w:id="416"/>
      <w:r w:rsidRPr="00C10BBC">
        <w:rPr>
          <w:rFonts w:ascii="Calibri" w:eastAsia="Times New Roman" w:hAnsi="Calibri" w:cstheme="minorHAnsi"/>
          <w:spacing w:val="-2"/>
          <w:sz w:val="20"/>
          <w:szCs w:val="20"/>
        </w:rPr>
        <w:t xml:space="preserve">Golden D, Kolmakova A, Sura S, Vella AT, Manichaikul A, Wang XQ, Bielinski SJ, Taylor KD, Chen YI, Rich SS, Rodriguez A. Lymphocyte activation gene 3 and coronary artery disease. JCI Insight. 2016; 1:e88628. </w:t>
      </w:r>
    </w:p>
    <w:p w14:paraId="0AC6D955"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417" w:tgtFrame="_blank" w:history="1">
        <w:r w:rsidRPr="00C10BBC">
          <w:rPr>
            <w:rFonts w:ascii="Calibri" w:eastAsia="Times New Roman" w:hAnsi="Calibri" w:cstheme="minorHAnsi"/>
            <w:color w:val="0000FF"/>
            <w:spacing w:val="-2"/>
            <w:sz w:val="20"/>
            <w:szCs w:val="20"/>
            <w:u w:val="single"/>
          </w:rPr>
          <w:t>https://doi.org/10.1172/jci.insight.88628</w:t>
        </w:r>
      </w:hyperlink>
      <w:r w:rsidRPr="00C10BBC">
        <w:rPr>
          <w:rFonts w:ascii="Calibri" w:eastAsia="Times New Roman" w:hAnsi="Calibri" w:cstheme="minorHAnsi"/>
          <w:spacing w:val="-2"/>
          <w:sz w:val="20"/>
          <w:szCs w:val="20"/>
        </w:rPr>
        <w:t xml:space="preserve"> </w:t>
      </w:r>
    </w:p>
    <w:p w14:paraId="098C4D87"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418"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27777974</w:t>
        </w:r>
      </w:hyperlink>
      <w:r w:rsidRPr="00C10BBC">
        <w:rPr>
          <w:rFonts w:ascii="Calibri" w:eastAsia="Times New Roman" w:hAnsi="Calibri" w:cstheme="minorHAnsi"/>
          <w:spacing w:val="-2"/>
          <w:sz w:val="20"/>
          <w:szCs w:val="20"/>
        </w:rPr>
        <w:t xml:space="preserve"> </w:t>
      </w:r>
    </w:p>
    <w:p w14:paraId="6686D7A2"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207.</w:t>
      </w:r>
      <w:r w:rsidRPr="00C10BBC">
        <w:rPr>
          <w:rFonts w:ascii="Calibri" w:eastAsia="Times New Roman" w:hAnsi="Calibri" w:cstheme="minorHAnsi"/>
          <w:spacing w:val="-2"/>
          <w:sz w:val="20"/>
          <w:szCs w:val="20"/>
        </w:rPr>
        <w:tab/>
      </w:r>
      <w:bookmarkStart w:id="417" w:name="b207"/>
      <w:bookmarkStart w:id="418" w:name="idm1158516400"/>
      <w:bookmarkEnd w:id="417"/>
      <w:bookmarkEnd w:id="418"/>
      <w:r w:rsidRPr="00C10BBC">
        <w:rPr>
          <w:rFonts w:ascii="Calibri" w:eastAsia="Times New Roman" w:hAnsi="Calibri" w:cstheme="minorHAnsi"/>
          <w:spacing w:val="-2"/>
          <w:sz w:val="20"/>
          <w:szCs w:val="20"/>
        </w:rPr>
        <w:t xml:space="preserve">Borrell-Pages M, Carolina Romero J, Badimon L. LRP5 and plasma cholesterol levels modulate the canonical Wnt pathway in peripheral blood leukocytes. Immunol Cell Biol. 2015; 93:653-61. </w:t>
      </w:r>
    </w:p>
    <w:p w14:paraId="5E0B4667"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419" w:tgtFrame="_blank" w:history="1">
        <w:r w:rsidRPr="00C10BBC">
          <w:rPr>
            <w:rFonts w:ascii="Calibri" w:eastAsia="Times New Roman" w:hAnsi="Calibri" w:cstheme="minorHAnsi"/>
            <w:color w:val="0000FF"/>
            <w:spacing w:val="-2"/>
            <w:sz w:val="20"/>
            <w:szCs w:val="20"/>
            <w:u w:val="single"/>
          </w:rPr>
          <w:t>https://doi.org/10.1038/icb.2015.41</w:t>
        </w:r>
      </w:hyperlink>
      <w:r w:rsidRPr="00C10BBC">
        <w:rPr>
          <w:rFonts w:ascii="Calibri" w:eastAsia="Times New Roman" w:hAnsi="Calibri" w:cstheme="minorHAnsi"/>
          <w:spacing w:val="-2"/>
          <w:sz w:val="20"/>
          <w:szCs w:val="20"/>
        </w:rPr>
        <w:t xml:space="preserve"> </w:t>
      </w:r>
    </w:p>
    <w:p w14:paraId="7198D47A"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420"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25748163</w:t>
        </w:r>
      </w:hyperlink>
      <w:r w:rsidRPr="00C10BBC">
        <w:rPr>
          <w:rFonts w:ascii="Calibri" w:eastAsia="Times New Roman" w:hAnsi="Calibri" w:cstheme="minorHAnsi"/>
          <w:spacing w:val="-2"/>
          <w:sz w:val="20"/>
          <w:szCs w:val="20"/>
        </w:rPr>
        <w:t xml:space="preserve"> </w:t>
      </w:r>
    </w:p>
    <w:p w14:paraId="0F1C3E37"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208.</w:t>
      </w:r>
      <w:r w:rsidRPr="00C10BBC">
        <w:rPr>
          <w:rFonts w:ascii="Calibri" w:eastAsia="Times New Roman" w:hAnsi="Calibri" w:cstheme="minorHAnsi"/>
          <w:spacing w:val="-2"/>
          <w:sz w:val="20"/>
          <w:szCs w:val="20"/>
        </w:rPr>
        <w:tab/>
      </w:r>
      <w:bookmarkStart w:id="419" w:name="b208"/>
      <w:bookmarkStart w:id="420" w:name="idm1158501872"/>
      <w:bookmarkEnd w:id="419"/>
      <w:bookmarkEnd w:id="420"/>
      <w:r w:rsidRPr="00C10BBC">
        <w:rPr>
          <w:rFonts w:ascii="Calibri" w:eastAsia="Times New Roman" w:hAnsi="Calibri" w:cstheme="minorHAnsi"/>
          <w:spacing w:val="-2"/>
          <w:sz w:val="20"/>
          <w:szCs w:val="20"/>
        </w:rPr>
        <w:t xml:space="preserve">Wang L, Zheng Z, Feng X, Zang X, Ding W, Wu F, Zhao Q. circRNA/lncRNA-miRNA-mRNA Network in Oxidized, Low-Density, Lipoprotein-Induced Foam Cells. DNA Cell Biol. 2019; 38:1499-511. </w:t>
      </w:r>
    </w:p>
    <w:p w14:paraId="498B7B0D"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421" w:tgtFrame="_blank" w:history="1">
        <w:r w:rsidRPr="00C10BBC">
          <w:rPr>
            <w:rFonts w:ascii="Calibri" w:eastAsia="Times New Roman" w:hAnsi="Calibri" w:cstheme="minorHAnsi"/>
            <w:color w:val="0000FF"/>
            <w:spacing w:val="-2"/>
            <w:sz w:val="20"/>
            <w:szCs w:val="20"/>
            <w:u w:val="single"/>
          </w:rPr>
          <w:t>https://doi.org/10.1089/dna.2019.4865</w:t>
        </w:r>
      </w:hyperlink>
      <w:r w:rsidRPr="00C10BBC">
        <w:rPr>
          <w:rFonts w:ascii="Calibri" w:eastAsia="Times New Roman" w:hAnsi="Calibri" w:cstheme="minorHAnsi"/>
          <w:spacing w:val="-2"/>
          <w:sz w:val="20"/>
          <w:szCs w:val="20"/>
        </w:rPr>
        <w:t xml:space="preserve"> </w:t>
      </w:r>
    </w:p>
    <w:p w14:paraId="06FC8EF9"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422"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31804889</w:t>
        </w:r>
      </w:hyperlink>
      <w:r w:rsidRPr="00C10BBC">
        <w:rPr>
          <w:rFonts w:ascii="Calibri" w:eastAsia="Times New Roman" w:hAnsi="Calibri" w:cstheme="minorHAnsi"/>
          <w:spacing w:val="-2"/>
          <w:sz w:val="20"/>
          <w:szCs w:val="20"/>
        </w:rPr>
        <w:t xml:space="preserve"> </w:t>
      </w:r>
    </w:p>
    <w:p w14:paraId="2205937E"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209.</w:t>
      </w:r>
      <w:r w:rsidRPr="00C10BBC">
        <w:rPr>
          <w:rFonts w:ascii="Calibri" w:eastAsia="Times New Roman" w:hAnsi="Calibri" w:cstheme="minorHAnsi"/>
          <w:spacing w:val="-2"/>
          <w:sz w:val="20"/>
          <w:szCs w:val="20"/>
        </w:rPr>
        <w:tab/>
      </w:r>
      <w:bookmarkStart w:id="421" w:name="b209"/>
      <w:bookmarkStart w:id="422" w:name="idm1150093472"/>
      <w:bookmarkEnd w:id="421"/>
      <w:bookmarkEnd w:id="422"/>
      <w:r w:rsidRPr="00C10BBC">
        <w:rPr>
          <w:rFonts w:ascii="Calibri" w:eastAsia="Times New Roman" w:hAnsi="Calibri" w:cstheme="minorHAnsi"/>
          <w:spacing w:val="-2"/>
          <w:sz w:val="20"/>
          <w:szCs w:val="20"/>
        </w:rPr>
        <w:t xml:space="preserve">Lacey M, Baribault C, Ehrlich KC, Ehrlich M. Data showing atherosclerosis-associated differentially methylated regions are often at enhancers. Data Brief. 2019; 23:103812. </w:t>
      </w:r>
    </w:p>
    <w:p w14:paraId="4AF8029E"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423" w:tgtFrame="_blank" w:history="1">
        <w:r w:rsidRPr="00C10BBC">
          <w:rPr>
            <w:rFonts w:ascii="Calibri" w:eastAsia="Times New Roman" w:hAnsi="Calibri" w:cstheme="minorHAnsi"/>
            <w:color w:val="0000FF"/>
            <w:spacing w:val="-2"/>
            <w:sz w:val="20"/>
            <w:szCs w:val="20"/>
            <w:u w:val="single"/>
          </w:rPr>
          <w:t>https://doi.org/10.1016/j.dib.2019.103812</w:t>
        </w:r>
      </w:hyperlink>
      <w:r w:rsidRPr="00C10BBC">
        <w:rPr>
          <w:rFonts w:ascii="Calibri" w:eastAsia="Times New Roman" w:hAnsi="Calibri" w:cstheme="minorHAnsi"/>
          <w:spacing w:val="-2"/>
          <w:sz w:val="20"/>
          <w:szCs w:val="20"/>
        </w:rPr>
        <w:t xml:space="preserve"> </w:t>
      </w:r>
    </w:p>
    <w:p w14:paraId="278949EE"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424"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31372457</w:t>
        </w:r>
      </w:hyperlink>
      <w:r w:rsidRPr="00C10BBC">
        <w:rPr>
          <w:rFonts w:ascii="Calibri" w:eastAsia="Times New Roman" w:hAnsi="Calibri" w:cstheme="minorHAnsi"/>
          <w:spacing w:val="-2"/>
          <w:sz w:val="20"/>
          <w:szCs w:val="20"/>
        </w:rPr>
        <w:t xml:space="preserve"> </w:t>
      </w:r>
    </w:p>
    <w:p w14:paraId="58E603D4"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210.</w:t>
      </w:r>
      <w:r w:rsidRPr="00C10BBC">
        <w:rPr>
          <w:rFonts w:ascii="Calibri" w:eastAsia="Times New Roman" w:hAnsi="Calibri" w:cstheme="minorHAnsi"/>
          <w:spacing w:val="-2"/>
          <w:sz w:val="20"/>
          <w:szCs w:val="20"/>
        </w:rPr>
        <w:tab/>
      </w:r>
      <w:bookmarkStart w:id="423" w:name="b210"/>
      <w:bookmarkStart w:id="424" w:name="idm1150836816"/>
      <w:bookmarkEnd w:id="423"/>
      <w:bookmarkEnd w:id="424"/>
      <w:r w:rsidRPr="00C10BBC">
        <w:rPr>
          <w:rFonts w:ascii="Calibri" w:eastAsia="Times New Roman" w:hAnsi="Calibri" w:cstheme="minorHAnsi"/>
          <w:spacing w:val="-2"/>
          <w:sz w:val="20"/>
          <w:szCs w:val="20"/>
        </w:rPr>
        <w:t xml:space="preserve">Malhotra R, Mauer AC, Lino Cardenas CL, Guo X, Yao J, Zhang X, Wunderer F, Smith AV, Wong Q, Pechlivanis S, Hwang SJ, Wang J, Lu L, et al. HDAC9 is implicated in atherosclerotic aortic calcification and affects vascular smooth muscle cell phenotype. Nat Genet. 2019; 51:1580-87. </w:t>
      </w:r>
    </w:p>
    <w:p w14:paraId="0B2DCA17"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425" w:tgtFrame="_blank" w:history="1">
        <w:r w:rsidRPr="00C10BBC">
          <w:rPr>
            <w:rFonts w:ascii="Calibri" w:eastAsia="Times New Roman" w:hAnsi="Calibri" w:cstheme="minorHAnsi"/>
            <w:color w:val="0000FF"/>
            <w:spacing w:val="-2"/>
            <w:sz w:val="20"/>
            <w:szCs w:val="20"/>
            <w:u w:val="single"/>
          </w:rPr>
          <w:t>https://doi.org/10.1038/s41588-019-0514-8</w:t>
        </w:r>
      </w:hyperlink>
      <w:r w:rsidRPr="00C10BBC">
        <w:rPr>
          <w:rFonts w:ascii="Calibri" w:eastAsia="Times New Roman" w:hAnsi="Calibri" w:cstheme="minorHAnsi"/>
          <w:spacing w:val="-2"/>
          <w:sz w:val="20"/>
          <w:szCs w:val="20"/>
        </w:rPr>
        <w:t xml:space="preserve"> </w:t>
      </w:r>
    </w:p>
    <w:p w14:paraId="76AE814F"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426"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31659325</w:t>
        </w:r>
      </w:hyperlink>
      <w:r w:rsidRPr="00C10BBC">
        <w:rPr>
          <w:rFonts w:ascii="Calibri" w:eastAsia="Times New Roman" w:hAnsi="Calibri" w:cstheme="minorHAnsi"/>
          <w:spacing w:val="-2"/>
          <w:sz w:val="20"/>
          <w:szCs w:val="20"/>
        </w:rPr>
        <w:t xml:space="preserve"> </w:t>
      </w:r>
    </w:p>
    <w:p w14:paraId="1FA3B34E"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211.</w:t>
      </w:r>
      <w:r w:rsidRPr="00C10BBC">
        <w:rPr>
          <w:rFonts w:ascii="Calibri" w:eastAsia="Times New Roman" w:hAnsi="Calibri" w:cstheme="minorHAnsi"/>
          <w:spacing w:val="-2"/>
          <w:sz w:val="20"/>
          <w:szCs w:val="20"/>
        </w:rPr>
        <w:tab/>
      </w:r>
      <w:bookmarkStart w:id="425" w:name="b211"/>
      <w:bookmarkStart w:id="426" w:name="idm1157674960"/>
      <w:bookmarkEnd w:id="425"/>
      <w:bookmarkEnd w:id="426"/>
      <w:r w:rsidRPr="00C10BBC">
        <w:rPr>
          <w:rFonts w:ascii="Calibri" w:eastAsia="Times New Roman" w:hAnsi="Calibri" w:cstheme="minorHAnsi"/>
          <w:spacing w:val="-2"/>
          <w:sz w:val="20"/>
          <w:szCs w:val="20"/>
        </w:rPr>
        <w:t xml:space="preserve">Xu S, Yin M, Koroleva M, Mastrangelo MA, Zhang W, Bai P, Little PJ, Jin ZG. SIRT6 protects against endothelial dysfunction and atherosclerosis in mice. Aging (Albany NY). 2016; 8:1064-82. </w:t>
      </w:r>
    </w:p>
    <w:p w14:paraId="662277B3"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427" w:tgtFrame="_blank" w:history="1">
        <w:r w:rsidRPr="00C10BBC">
          <w:rPr>
            <w:rFonts w:ascii="Calibri" w:eastAsia="Times New Roman" w:hAnsi="Calibri" w:cstheme="minorHAnsi"/>
            <w:color w:val="0000FF"/>
            <w:spacing w:val="-2"/>
            <w:sz w:val="20"/>
            <w:szCs w:val="20"/>
            <w:u w:val="single"/>
          </w:rPr>
          <w:t>https://doi.org/10.18632/aging.100975</w:t>
        </w:r>
      </w:hyperlink>
      <w:r w:rsidRPr="00C10BBC">
        <w:rPr>
          <w:rFonts w:ascii="Calibri" w:eastAsia="Times New Roman" w:hAnsi="Calibri" w:cstheme="minorHAnsi"/>
          <w:spacing w:val="-2"/>
          <w:sz w:val="20"/>
          <w:szCs w:val="20"/>
        </w:rPr>
        <w:t xml:space="preserve"> </w:t>
      </w:r>
    </w:p>
    <w:p w14:paraId="5356E8FD"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428"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27249230</w:t>
        </w:r>
      </w:hyperlink>
      <w:r w:rsidRPr="00C10BBC">
        <w:rPr>
          <w:rFonts w:ascii="Calibri" w:eastAsia="Times New Roman" w:hAnsi="Calibri" w:cstheme="minorHAnsi"/>
          <w:spacing w:val="-2"/>
          <w:sz w:val="20"/>
          <w:szCs w:val="20"/>
        </w:rPr>
        <w:t xml:space="preserve"> </w:t>
      </w:r>
    </w:p>
    <w:p w14:paraId="48351F61"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212.</w:t>
      </w:r>
      <w:r w:rsidRPr="00C10BBC">
        <w:rPr>
          <w:rFonts w:ascii="Calibri" w:eastAsia="Times New Roman" w:hAnsi="Calibri" w:cstheme="minorHAnsi"/>
          <w:spacing w:val="-2"/>
          <w:sz w:val="20"/>
          <w:szCs w:val="20"/>
        </w:rPr>
        <w:tab/>
      </w:r>
      <w:bookmarkStart w:id="427" w:name="b212"/>
      <w:bookmarkStart w:id="428" w:name="idm1160883552"/>
      <w:bookmarkEnd w:id="427"/>
      <w:bookmarkEnd w:id="428"/>
      <w:r w:rsidRPr="00C10BBC">
        <w:rPr>
          <w:rFonts w:ascii="Calibri" w:eastAsia="Times New Roman" w:hAnsi="Calibri" w:cstheme="minorHAnsi"/>
          <w:spacing w:val="-2"/>
          <w:sz w:val="20"/>
          <w:szCs w:val="20"/>
        </w:rPr>
        <w:t xml:space="preserve">Yamamoto K, Tajima Y, Hasegawa A, Takahashi Y, Kojima M, Watanabe R, Sato K, Shichiri M, Watanabe T. Contrasting effects of stanniocalcin-related polypeptides on macrophage foam cell formation and vascular smooth muscle cell migration. Peptides. 2016; 82:120-27. </w:t>
      </w:r>
    </w:p>
    <w:p w14:paraId="3901B48A"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429" w:tgtFrame="_blank" w:history="1">
        <w:r w:rsidRPr="00C10BBC">
          <w:rPr>
            <w:rFonts w:ascii="Calibri" w:eastAsia="Times New Roman" w:hAnsi="Calibri" w:cstheme="minorHAnsi"/>
            <w:color w:val="0000FF"/>
            <w:spacing w:val="-2"/>
            <w:sz w:val="20"/>
            <w:szCs w:val="20"/>
            <w:u w:val="single"/>
          </w:rPr>
          <w:t>https://doi.org/10.1016/j.peptides.2016.06.009</w:t>
        </w:r>
      </w:hyperlink>
      <w:r w:rsidRPr="00C10BBC">
        <w:rPr>
          <w:rFonts w:ascii="Calibri" w:eastAsia="Times New Roman" w:hAnsi="Calibri" w:cstheme="minorHAnsi"/>
          <w:spacing w:val="-2"/>
          <w:sz w:val="20"/>
          <w:szCs w:val="20"/>
        </w:rPr>
        <w:t xml:space="preserve"> </w:t>
      </w:r>
    </w:p>
    <w:p w14:paraId="1177E5FB"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430"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27346255</w:t>
        </w:r>
      </w:hyperlink>
      <w:r w:rsidRPr="00C10BBC">
        <w:rPr>
          <w:rFonts w:ascii="Calibri" w:eastAsia="Times New Roman" w:hAnsi="Calibri" w:cstheme="minorHAnsi"/>
          <w:spacing w:val="-2"/>
          <w:sz w:val="20"/>
          <w:szCs w:val="20"/>
        </w:rPr>
        <w:t xml:space="preserve"> </w:t>
      </w:r>
    </w:p>
    <w:p w14:paraId="3FBE8B7A"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213.</w:t>
      </w:r>
      <w:r w:rsidRPr="00C10BBC">
        <w:rPr>
          <w:rFonts w:ascii="Calibri" w:eastAsia="Times New Roman" w:hAnsi="Calibri" w:cstheme="minorHAnsi"/>
          <w:spacing w:val="-2"/>
          <w:sz w:val="20"/>
          <w:szCs w:val="20"/>
        </w:rPr>
        <w:tab/>
      </w:r>
      <w:bookmarkStart w:id="429" w:name="b213"/>
      <w:bookmarkStart w:id="430" w:name="idm973335104"/>
      <w:bookmarkEnd w:id="429"/>
      <w:bookmarkEnd w:id="430"/>
      <w:r w:rsidRPr="00C10BBC">
        <w:rPr>
          <w:rFonts w:ascii="Calibri" w:eastAsia="Times New Roman" w:hAnsi="Calibri" w:cstheme="minorHAnsi"/>
          <w:spacing w:val="-2"/>
          <w:sz w:val="20"/>
          <w:szCs w:val="20"/>
        </w:rPr>
        <w:t xml:space="preserve">Lichtenstein L, Berbee JF, van Dijk SJ, van Dijk KW, Bensadoun A, Kema IP, Voshol PJ, Muller M, Rensen PC, Kersten S. Angptl4 upregulates cholesterol synthesis in liver via inhibition of LPL- and HL-dependent hepatic cholesterol uptake. Arterioscler Thromb Vasc Biol. 2007; 27:2420-27. </w:t>
      </w:r>
    </w:p>
    <w:p w14:paraId="0BF99121"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431" w:tgtFrame="_blank" w:history="1">
        <w:r w:rsidRPr="00C10BBC">
          <w:rPr>
            <w:rFonts w:ascii="Calibri" w:eastAsia="Times New Roman" w:hAnsi="Calibri" w:cstheme="minorHAnsi"/>
            <w:color w:val="0000FF"/>
            <w:spacing w:val="-2"/>
            <w:sz w:val="20"/>
            <w:szCs w:val="20"/>
            <w:u w:val="single"/>
          </w:rPr>
          <w:t>https://doi.org/10.1161/ATVBAHA.107.151894</w:t>
        </w:r>
      </w:hyperlink>
      <w:r w:rsidRPr="00C10BBC">
        <w:rPr>
          <w:rFonts w:ascii="Calibri" w:eastAsia="Times New Roman" w:hAnsi="Calibri" w:cstheme="minorHAnsi"/>
          <w:spacing w:val="-2"/>
          <w:sz w:val="20"/>
          <w:szCs w:val="20"/>
        </w:rPr>
        <w:t xml:space="preserve"> </w:t>
      </w:r>
    </w:p>
    <w:p w14:paraId="00414F3F"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432"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17761937</w:t>
        </w:r>
      </w:hyperlink>
      <w:r w:rsidRPr="00C10BBC">
        <w:rPr>
          <w:rFonts w:ascii="Calibri" w:eastAsia="Times New Roman" w:hAnsi="Calibri" w:cstheme="minorHAnsi"/>
          <w:spacing w:val="-2"/>
          <w:sz w:val="20"/>
          <w:szCs w:val="20"/>
        </w:rPr>
        <w:t xml:space="preserve"> </w:t>
      </w:r>
    </w:p>
    <w:p w14:paraId="6489D676"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214.</w:t>
      </w:r>
      <w:r w:rsidRPr="00C10BBC">
        <w:rPr>
          <w:rFonts w:ascii="Calibri" w:eastAsia="Times New Roman" w:hAnsi="Calibri" w:cstheme="minorHAnsi"/>
          <w:spacing w:val="-2"/>
          <w:sz w:val="20"/>
          <w:szCs w:val="20"/>
        </w:rPr>
        <w:tab/>
      </w:r>
      <w:bookmarkStart w:id="431" w:name="b214"/>
      <w:bookmarkStart w:id="432" w:name="idm1161529872"/>
      <w:bookmarkEnd w:id="431"/>
      <w:bookmarkEnd w:id="432"/>
      <w:r w:rsidRPr="00C10BBC">
        <w:rPr>
          <w:rFonts w:ascii="Calibri" w:eastAsia="Times New Roman" w:hAnsi="Calibri" w:cstheme="minorHAnsi"/>
          <w:spacing w:val="-2"/>
          <w:sz w:val="20"/>
          <w:szCs w:val="20"/>
        </w:rPr>
        <w:t xml:space="preserve">Dulin E, Garcia-Barreno P, Guisasola MC. Genetic variations of HSPA1A, the heat shock protein levels, and risk of atherosclerosis. Cell Stress Chaperones. 2012; 17:507-16. </w:t>
      </w:r>
    </w:p>
    <w:p w14:paraId="16F55E03"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433" w:tgtFrame="_blank" w:history="1">
        <w:r w:rsidRPr="00C10BBC">
          <w:rPr>
            <w:rFonts w:ascii="Calibri" w:eastAsia="Times New Roman" w:hAnsi="Calibri" w:cstheme="minorHAnsi"/>
            <w:color w:val="0000FF"/>
            <w:spacing w:val="-2"/>
            <w:sz w:val="20"/>
            <w:szCs w:val="20"/>
            <w:u w:val="single"/>
          </w:rPr>
          <w:t>https://doi.org/10.1007/s12192-012-0328-4</w:t>
        </w:r>
      </w:hyperlink>
      <w:r w:rsidRPr="00C10BBC">
        <w:rPr>
          <w:rFonts w:ascii="Calibri" w:eastAsia="Times New Roman" w:hAnsi="Calibri" w:cstheme="minorHAnsi"/>
          <w:spacing w:val="-2"/>
          <w:sz w:val="20"/>
          <w:szCs w:val="20"/>
        </w:rPr>
        <w:t xml:space="preserve"> </w:t>
      </w:r>
    </w:p>
    <w:p w14:paraId="5E246597"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434"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22328194</w:t>
        </w:r>
      </w:hyperlink>
      <w:r w:rsidRPr="00C10BBC">
        <w:rPr>
          <w:rFonts w:ascii="Calibri" w:eastAsia="Times New Roman" w:hAnsi="Calibri" w:cstheme="minorHAnsi"/>
          <w:spacing w:val="-2"/>
          <w:sz w:val="20"/>
          <w:szCs w:val="20"/>
        </w:rPr>
        <w:t xml:space="preserve"> </w:t>
      </w:r>
    </w:p>
    <w:p w14:paraId="355A3D27"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215.</w:t>
      </w:r>
      <w:r w:rsidRPr="00C10BBC">
        <w:rPr>
          <w:rFonts w:ascii="Calibri" w:eastAsia="Times New Roman" w:hAnsi="Calibri" w:cstheme="minorHAnsi"/>
          <w:spacing w:val="-2"/>
          <w:sz w:val="20"/>
          <w:szCs w:val="20"/>
        </w:rPr>
        <w:tab/>
      </w:r>
      <w:bookmarkStart w:id="433" w:name="b215"/>
      <w:bookmarkStart w:id="434" w:name="idm1161514416"/>
      <w:bookmarkEnd w:id="433"/>
      <w:bookmarkEnd w:id="434"/>
      <w:r w:rsidRPr="00C10BBC">
        <w:rPr>
          <w:rFonts w:ascii="Calibri" w:eastAsia="Times New Roman" w:hAnsi="Calibri" w:cstheme="minorHAnsi"/>
          <w:spacing w:val="-2"/>
          <w:sz w:val="20"/>
          <w:szCs w:val="20"/>
        </w:rPr>
        <w:t xml:space="preserve">Grainger AT, Jones MB, Li J, Chen MH, Manichaikul A, Shi W. Genetic analysis of atherosclerosis identifies a major susceptibility locus in the major histocompatibility complex of mice. Atherosclerosis. 2016; 254:124-32. </w:t>
      </w:r>
    </w:p>
    <w:p w14:paraId="61E8DF34"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435" w:tgtFrame="_blank" w:history="1">
        <w:r w:rsidRPr="00C10BBC">
          <w:rPr>
            <w:rFonts w:ascii="Calibri" w:eastAsia="Times New Roman" w:hAnsi="Calibri" w:cstheme="minorHAnsi"/>
            <w:color w:val="0000FF"/>
            <w:spacing w:val="-2"/>
            <w:sz w:val="20"/>
            <w:szCs w:val="20"/>
            <w:u w:val="single"/>
          </w:rPr>
          <w:t>https://doi.org/10.1016/j.atherosclerosis.2016.10.011</w:t>
        </w:r>
      </w:hyperlink>
      <w:r w:rsidRPr="00C10BBC">
        <w:rPr>
          <w:rFonts w:ascii="Calibri" w:eastAsia="Times New Roman" w:hAnsi="Calibri" w:cstheme="minorHAnsi"/>
          <w:spacing w:val="-2"/>
          <w:sz w:val="20"/>
          <w:szCs w:val="20"/>
        </w:rPr>
        <w:t xml:space="preserve"> </w:t>
      </w:r>
    </w:p>
    <w:p w14:paraId="3DC7A628"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436"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27736672</w:t>
        </w:r>
      </w:hyperlink>
      <w:r w:rsidRPr="00C10BBC">
        <w:rPr>
          <w:rFonts w:ascii="Calibri" w:eastAsia="Times New Roman" w:hAnsi="Calibri" w:cstheme="minorHAnsi"/>
          <w:spacing w:val="-2"/>
          <w:sz w:val="20"/>
          <w:szCs w:val="20"/>
        </w:rPr>
        <w:t xml:space="preserve"> </w:t>
      </w:r>
    </w:p>
    <w:p w14:paraId="2F3E2553"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216.</w:t>
      </w:r>
      <w:r w:rsidRPr="00C10BBC">
        <w:rPr>
          <w:rFonts w:ascii="Calibri" w:eastAsia="Times New Roman" w:hAnsi="Calibri" w:cstheme="minorHAnsi"/>
          <w:spacing w:val="-2"/>
          <w:sz w:val="20"/>
          <w:szCs w:val="20"/>
        </w:rPr>
        <w:tab/>
      </w:r>
      <w:bookmarkStart w:id="435" w:name="b216"/>
      <w:bookmarkStart w:id="436" w:name="idm1163923552"/>
      <w:bookmarkEnd w:id="435"/>
      <w:bookmarkEnd w:id="436"/>
      <w:r w:rsidRPr="00C10BBC">
        <w:rPr>
          <w:rFonts w:ascii="Calibri" w:eastAsia="Times New Roman" w:hAnsi="Calibri" w:cstheme="minorHAnsi"/>
          <w:spacing w:val="-2"/>
          <w:sz w:val="20"/>
          <w:szCs w:val="20"/>
        </w:rPr>
        <w:t>Zeboudj L, Maitre M, Guyonnet L, Laurans L, Joffre J, Lemarie J, Bourcier S, Nour-Eldine W, Guerin C, Friard J, Wakkach A, Fabre E, Tedgui A, et al. Selective EGF-Receptor Inhibition in CD4</w:t>
      </w:r>
      <w:r w:rsidRPr="00C10BBC">
        <w:rPr>
          <w:rFonts w:ascii="Calibri" w:eastAsia="Times New Roman" w:hAnsi="Calibri" w:cstheme="minorHAnsi"/>
          <w:spacing w:val="-2"/>
          <w:sz w:val="20"/>
          <w:szCs w:val="20"/>
          <w:vertAlign w:val="superscript"/>
        </w:rPr>
        <w:t>+</w:t>
      </w:r>
      <w:r w:rsidRPr="00C10BBC">
        <w:rPr>
          <w:rFonts w:ascii="Calibri" w:eastAsia="Times New Roman" w:hAnsi="Calibri" w:cstheme="minorHAnsi"/>
          <w:spacing w:val="-2"/>
          <w:sz w:val="20"/>
          <w:szCs w:val="20"/>
        </w:rPr>
        <w:t xml:space="preserve"> T Cells Induces Anergy and Limits Atherosclerosis. J Am Coll Cardiol. 2018; 71:160-72. </w:t>
      </w:r>
    </w:p>
    <w:p w14:paraId="7E2A9DFE"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437" w:tgtFrame="_blank" w:history="1">
        <w:r w:rsidRPr="00C10BBC">
          <w:rPr>
            <w:rFonts w:ascii="Calibri" w:eastAsia="Times New Roman" w:hAnsi="Calibri" w:cstheme="minorHAnsi"/>
            <w:color w:val="0000FF"/>
            <w:spacing w:val="-2"/>
            <w:sz w:val="20"/>
            <w:szCs w:val="20"/>
            <w:u w:val="single"/>
          </w:rPr>
          <w:t>https://doi.org/10.1016/j.jacc.2017.10.084</w:t>
        </w:r>
      </w:hyperlink>
      <w:r w:rsidRPr="00C10BBC">
        <w:rPr>
          <w:rFonts w:ascii="Calibri" w:eastAsia="Times New Roman" w:hAnsi="Calibri" w:cstheme="minorHAnsi"/>
          <w:spacing w:val="-2"/>
          <w:sz w:val="20"/>
          <w:szCs w:val="20"/>
        </w:rPr>
        <w:t xml:space="preserve"> </w:t>
      </w:r>
    </w:p>
    <w:p w14:paraId="43FC05FF"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438"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29325640</w:t>
        </w:r>
      </w:hyperlink>
      <w:r w:rsidRPr="00C10BBC">
        <w:rPr>
          <w:rFonts w:ascii="Calibri" w:eastAsia="Times New Roman" w:hAnsi="Calibri" w:cstheme="minorHAnsi"/>
          <w:spacing w:val="-2"/>
          <w:sz w:val="20"/>
          <w:szCs w:val="20"/>
        </w:rPr>
        <w:t xml:space="preserve"> </w:t>
      </w:r>
    </w:p>
    <w:p w14:paraId="367ED0B1"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217.</w:t>
      </w:r>
      <w:r w:rsidRPr="00C10BBC">
        <w:rPr>
          <w:rFonts w:ascii="Calibri" w:eastAsia="Times New Roman" w:hAnsi="Calibri" w:cstheme="minorHAnsi"/>
          <w:spacing w:val="-2"/>
          <w:sz w:val="20"/>
          <w:szCs w:val="20"/>
        </w:rPr>
        <w:tab/>
      </w:r>
      <w:bookmarkStart w:id="437" w:name="b217"/>
      <w:bookmarkStart w:id="438" w:name="idm1155970592"/>
      <w:bookmarkEnd w:id="437"/>
      <w:bookmarkEnd w:id="438"/>
      <w:r w:rsidRPr="00C10BBC">
        <w:rPr>
          <w:rFonts w:ascii="Calibri" w:eastAsia="Times New Roman" w:hAnsi="Calibri" w:cstheme="minorHAnsi"/>
          <w:spacing w:val="-2"/>
          <w:sz w:val="20"/>
          <w:szCs w:val="20"/>
        </w:rPr>
        <w:t xml:space="preserve">Subramanian M, Thorp E, Tabas I. Identification of a non-growth factor role for GM-CSF in advanced atherosclerosis: promotion of macrophage apoptosis and plaque necrosis through IL-23 signaling. Circ Res. 2015; 116:e13-24. </w:t>
      </w:r>
    </w:p>
    <w:p w14:paraId="3A18F3F6"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439" w:tgtFrame="_blank" w:history="1">
        <w:r w:rsidRPr="00C10BBC">
          <w:rPr>
            <w:rFonts w:ascii="Calibri" w:eastAsia="Times New Roman" w:hAnsi="Calibri" w:cstheme="minorHAnsi"/>
            <w:color w:val="0000FF"/>
            <w:spacing w:val="-2"/>
            <w:sz w:val="20"/>
            <w:szCs w:val="20"/>
            <w:u w:val="single"/>
          </w:rPr>
          <w:t>https://doi.org/10.1161/CIRCRESAHA.116.304794</w:t>
        </w:r>
      </w:hyperlink>
      <w:r w:rsidRPr="00C10BBC">
        <w:rPr>
          <w:rFonts w:ascii="Calibri" w:eastAsia="Times New Roman" w:hAnsi="Calibri" w:cstheme="minorHAnsi"/>
          <w:spacing w:val="-2"/>
          <w:sz w:val="20"/>
          <w:szCs w:val="20"/>
        </w:rPr>
        <w:t xml:space="preserve"> </w:t>
      </w:r>
    </w:p>
    <w:p w14:paraId="6A540027"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440"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25348165</w:t>
        </w:r>
      </w:hyperlink>
      <w:r w:rsidRPr="00C10BBC">
        <w:rPr>
          <w:rFonts w:ascii="Calibri" w:eastAsia="Times New Roman" w:hAnsi="Calibri" w:cstheme="minorHAnsi"/>
          <w:spacing w:val="-2"/>
          <w:sz w:val="20"/>
          <w:szCs w:val="20"/>
        </w:rPr>
        <w:t xml:space="preserve"> </w:t>
      </w:r>
    </w:p>
    <w:p w14:paraId="3396C590"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218.</w:t>
      </w:r>
      <w:r w:rsidRPr="00C10BBC">
        <w:rPr>
          <w:rFonts w:ascii="Calibri" w:eastAsia="Times New Roman" w:hAnsi="Calibri" w:cstheme="minorHAnsi"/>
          <w:spacing w:val="-2"/>
          <w:sz w:val="20"/>
          <w:szCs w:val="20"/>
        </w:rPr>
        <w:tab/>
      </w:r>
      <w:bookmarkStart w:id="439" w:name="b218"/>
      <w:bookmarkStart w:id="440" w:name="idm1167793856"/>
      <w:bookmarkEnd w:id="439"/>
      <w:bookmarkEnd w:id="440"/>
      <w:r w:rsidRPr="00C10BBC">
        <w:rPr>
          <w:rFonts w:ascii="Calibri" w:eastAsia="Times New Roman" w:hAnsi="Calibri" w:cstheme="minorHAnsi"/>
          <w:spacing w:val="-2"/>
          <w:sz w:val="20"/>
          <w:szCs w:val="20"/>
        </w:rPr>
        <w:t xml:space="preserve">Ait-Oufella H, Herbin O, Lahoute C, Coatrieux C, Loyer X, Joffre J, Laurans L, Ramkhelawon B, Blanc-Brude O, Karabina S, Girard CA, Payre C, Yamamoto K, et al. Group X secreted phospholipase A2 limits the development of atherosclerosis in LDL receptor-null mice. Arterioscler Thromb Vasc Biol. 2013; 33:466-73. </w:t>
      </w:r>
    </w:p>
    <w:p w14:paraId="3A2606A5"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441" w:tgtFrame="_blank" w:history="1">
        <w:r w:rsidRPr="00C10BBC">
          <w:rPr>
            <w:rFonts w:ascii="Calibri" w:eastAsia="Times New Roman" w:hAnsi="Calibri" w:cstheme="minorHAnsi"/>
            <w:color w:val="0000FF"/>
            <w:spacing w:val="-2"/>
            <w:sz w:val="20"/>
            <w:szCs w:val="20"/>
            <w:u w:val="single"/>
          </w:rPr>
          <w:t>https://doi.org/10.1161/ATVBAHA.112.300309</w:t>
        </w:r>
      </w:hyperlink>
      <w:r w:rsidRPr="00C10BBC">
        <w:rPr>
          <w:rFonts w:ascii="Calibri" w:eastAsia="Times New Roman" w:hAnsi="Calibri" w:cstheme="minorHAnsi"/>
          <w:spacing w:val="-2"/>
          <w:sz w:val="20"/>
          <w:szCs w:val="20"/>
        </w:rPr>
        <w:t xml:space="preserve"> </w:t>
      </w:r>
    </w:p>
    <w:p w14:paraId="5FD9BFE8"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442"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23349189</w:t>
        </w:r>
      </w:hyperlink>
      <w:r w:rsidRPr="00C10BBC">
        <w:rPr>
          <w:rFonts w:ascii="Calibri" w:eastAsia="Times New Roman" w:hAnsi="Calibri" w:cstheme="minorHAnsi"/>
          <w:spacing w:val="-2"/>
          <w:sz w:val="20"/>
          <w:szCs w:val="20"/>
        </w:rPr>
        <w:t xml:space="preserve"> </w:t>
      </w:r>
    </w:p>
    <w:p w14:paraId="3FA40A90"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219.</w:t>
      </w:r>
      <w:r w:rsidRPr="00C10BBC">
        <w:rPr>
          <w:rFonts w:ascii="Calibri" w:eastAsia="Times New Roman" w:hAnsi="Calibri" w:cstheme="minorHAnsi"/>
          <w:spacing w:val="-2"/>
          <w:sz w:val="20"/>
          <w:szCs w:val="20"/>
        </w:rPr>
        <w:tab/>
      </w:r>
      <w:bookmarkStart w:id="441" w:name="b219"/>
      <w:bookmarkStart w:id="442" w:name="idm1166545648"/>
      <w:bookmarkEnd w:id="441"/>
      <w:bookmarkEnd w:id="442"/>
      <w:r w:rsidRPr="00C10BBC">
        <w:rPr>
          <w:rFonts w:ascii="Calibri" w:eastAsia="Times New Roman" w:hAnsi="Calibri" w:cstheme="minorHAnsi"/>
          <w:spacing w:val="-2"/>
          <w:sz w:val="20"/>
          <w:szCs w:val="20"/>
        </w:rPr>
        <w:t xml:space="preserve">Grandoch M, Hoffmann J, Rock K, Wenzel F, Oberhuber A, Schelzig H, Fischer JW. Novel effects of adenosine receptors on pericellular hyaluronan matrix: implications for human smooth muscle cell phenotype and interactions with monocytes during atherosclerosis. Basic Res Cardiol. 2013; 108:340. </w:t>
      </w:r>
    </w:p>
    <w:p w14:paraId="133603A4"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443" w:tgtFrame="_blank" w:history="1">
        <w:r w:rsidRPr="00C10BBC">
          <w:rPr>
            <w:rFonts w:ascii="Calibri" w:eastAsia="Times New Roman" w:hAnsi="Calibri" w:cstheme="minorHAnsi"/>
            <w:color w:val="0000FF"/>
            <w:spacing w:val="-2"/>
            <w:sz w:val="20"/>
            <w:szCs w:val="20"/>
            <w:u w:val="single"/>
          </w:rPr>
          <w:t>https://doi.org/10.1007/s00395-013-0340-6</w:t>
        </w:r>
      </w:hyperlink>
      <w:r w:rsidRPr="00C10BBC">
        <w:rPr>
          <w:rFonts w:ascii="Calibri" w:eastAsia="Times New Roman" w:hAnsi="Calibri" w:cstheme="minorHAnsi"/>
          <w:spacing w:val="-2"/>
          <w:sz w:val="20"/>
          <w:szCs w:val="20"/>
        </w:rPr>
        <w:t xml:space="preserve"> </w:t>
      </w:r>
    </w:p>
    <w:p w14:paraId="1A366F71"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444"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23440385</w:t>
        </w:r>
      </w:hyperlink>
      <w:r w:rsidRPr="00C10BBC">
        <w:rPr>
          <w:rFonts w:ascii="Calibri" w:eastAsia="Times New Roman" w:hAnsi="Calibri" w:cstheme="minorHAnsi"/>
          <w:spacing w:val="-2"/>
          <w:sz w:val="20"/>
          <w:szCs w:val="20"/>
        </w:rPr>
        <w:t xml:space="preserve"> </w:t>
      </w:r>
    </w:p>
    <w:p w14:paraId="355DF2C1"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220.</w:t>
      </w:r>
      <w:r w:rsidRPr="00C10BBC">
        <w:rPr>
          <w:rFonts w:ascii="Calibri" w:eastAsia="Times New Roman" w:hAnsi="Calibri" w:cstheme="minorHAnsi"/>
          <w:spacing w:val="-2"/>
          <w:sz w:val="20"/>
          <w:szCs w:val="20"/>
        </w:rPr>
        <w:tab/>
      </w:r>
      <w:bookmarkStart w:id="443" w:name="b220"/>
      <w:bookmarkStart w:id="444" w:name="idm1023096064"/>
      <w:bookmarkEnd w:id="443"/>
      <w:bookmarkEnd w:id="444"/>
      <w:r w:rsidRPr="00C10BBC">
        <w:rPr>
          <w:rFonts w:ascii="Calibri" w:eastAsia="Times New Roman" w:hAnsi="Calibri" w:cstheme="minorHAnsi"/>
          <w:spacing w:val="-2"/>
          <w:sz w:val="20"/>
          <w:szCs w:val="20"/>
        </w:rPr>
        <w:t xml:space="preserve">Ramkhelawon B, Yang Y, van Gils JM, Hewing B, Rayner KJ, Parathath S, Guo L, Oldebeken S, Feig JL, Fisher EA, Moore KJ. Hypoxia induces netrin-1 and Unc5b in atherosclerotic plaques: mechanism for macrophage retention and survival. Arterioscler Thromb Vasc Biol. 2013; 33:1180-88. </w:t>
      </w:r>
    </w:p>
    <w:p w14:paraId="7036B27F"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445" w:tgtFrame="_blank" w:history="1">
        <w:r w:rsidRPr="00C10BBC">
          <w:rPr>
            <w:rFonts w:ascii="Calibri" w:eastAsia="Times New Roman" w:hAnsi="Calibri" w:cstheme="minorHAnsi"/>
            <w:color w:val="0000FF"/>
            <w:spacing w:val="-2"/>
            <w:sz w:val="20"/>
            <w:szCs w:val="20"/>
            <w:u w:val="single"/>
          </w:rPr>
          <w:t>https://doi.org/10.1161/ATVBAHA.112.301008</w:t>
        </w:r>
      </w:hyperlink>
      <w:r w:rsidRPr="00C10BBC">
        <w:rPr>
          <w:rFonts w:ascii="Calibri" w:eastAsia="Times New Roman" w:hAnsi="Calibri" w:cstheme="minorHAnsi"/>
          <w:spacing w:val="-2"/>
          <w:sz w:val="20"/>
          <w:szCs w:val="20"/>
        </w:rPr>
        <w:t xml:space="preserve"> </w:t>
      </w:r>
    </w:p>
    <w:p w14:paraId="7D6AB0E9"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446"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23599441</w:t>
        </w:r>
      </w:hyperlink>
      <w:r w:rsidRPr="00C10BBC">
        <w:rPr>
          <w:rFonts w:ascii="Calibri" w:eastAsia="Times New Roman" w:hAnsi="Calibri" w:cstheme="minorHAnsi"/>
          <w:spacing w:val="-2"/>
          <w:sz w:val="20"/>
          <w:szCs w:val="20"/>
        </w:rPr>
        <w:t xml:space="preserve"> </w:t>
      </w:r>
    </w:p>
    <w:p w14:paraId="0111E7BD"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221.</w:t>
      </w:r>
      <w:r w:rsidRPr="00C10BBC">
        <w:rPr>
          <w:rFonts w:ascii="Calibri" w:eastAsia="Times New Roman" w:hAnsi="Calibri" w:cstheme="minorHAnsi"/>
          <w:spacing w:val="-2"/>
          <w:sz w:val="20"/>
          <w:szCs w:val="20"/>
        </w:rPr>
        <w:tab/>
      </w:r>
      <w:bookmarkStart w:id="445" w:name="b221"/>
      <w:bookmarkStart w:id="446" w:name="idm1161833152"/>
      <w:bookmarkEnd w:id="445"/>
      <w:bookmarkEnd w:id="446"/>
      <w:r w:rsidRPr="00C10BBC">
        <w:rPr>
          <w:rFonts w:ascii="Calibri" w:eastAsia="Times New Roman" w:hAnsi="Calibri" w:cstheme="minorHAnsi"/>
          <w:spacing w:val="-2"/>
          <w:sz w:val="20"/>
          <w:szCs w:val="20"/>
        </w:rPr>
        <w:t xml:space="preserve">Abd Alla J, Langer A, Elzahwy SS, Arman-Kalcek G, Streichert T, Quitterer U. Angiotensin-converting enzyme inhibition down-regulates the pro-atherogenic chemokine receptor 9 (CCR9)-chemokine ligand 25 (CCL25) axis. J Biol Chem. 2010; 285:23496-505. </w:t>
      </w:r>
    </w:p>
    <w:p w14:paraId="26F3F256"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447" w:tgtFrame="_blank" w:history="1">
        <w:r w:rsidRPr="00C10BBC">
          <w:rPr>
            <w:rFonts w:ascii="Calibri" w:eastAsia="Times New Roman" w:hAnsi="Calibri" w:cstheme="minorHAnsi"/>
            <w:color w:val="0000FF"/>
            <w:spacing w:val="-2"/>
            <w:sz w:val="20"/>
            <w:szCs w:val="20"/>
            <w:u w:val="single"/>
          </w:rPr>
          <w:t>https://doi.org/10.1074/jbc.M110.117481</w:t>
        </w:r>
      </w:hyperlink>
      <w:r w:rsidRPr="00C10BBC">
        <w:rPr>
          <w:rFonts w:ascii="Calibri" w:eastAsia="Times New Roman" w:hAnsi="Calibri" w:cstheme="minorHAnsi"/>
          <w:spacing w:val="-2"/>
          <w:sz w:val="20"/>
          <w:szCs w:val="20"/>
        </w:rPr>
        <w:t xml:space="preserve"> </w:t>
      </w:r>
    </w:p>
    <w:p w14:paraId="77A49B51"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448"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20504763</w:t>
        </w:r>
      </w:hyperlink>
      <w:r w:rsidRPr="00C10BBC">
        <w:rPr>
          <w:rFonts w:ascii="Calibri" w:eastAsia="Times New Roman" w:hAnsi="Calibri" w:cstheme="minorHAnsi"/>
          <w:spacing w:val="-2"/>
          <w:sz w:val="20"/>
          <w:szCs w:val="20"/>
        </w:rPr>
        <w:t xml:space="preserve"> </w:t>
      </w:r>
    </w:p>
    <w:p w14:paraId="00E7621C"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222.</w:t>
      </w:r>
      <w:r w:rsidRPr="00C10BBC">
        <w:rPr>
          <w:rFonts w:ascii="Calibri" w:eastAsia="Times New Roman" w:hAnsi="Calibri" w:cstheme="minorHAnsi"/>
          <w:spacing w:val="-2"/>
          <w:sz w:val="20"/>
          <w:szCs w:val="20"/>
        </w:rPr>
        <w:tab/>
      </w:r>
      <w:bookmarkStart w:id="447" w:name="b222"/>
      <w:bookmarkStart w:id="448" w:name="idm1143129232"/>
      <w:bookmarkEnd w:id="447"/>
      <w:bookmarkEnd w:id="448"/>
      <w:r w:rsidRPr="00C10BBC">
        <w:rPr>
          <w:rFonts w:ascii="Calibri" w:eastAsia="Times New Roman" w:hAnsi="Calibri" w:cstheme="minorHAnsi"/>
          <w:spacing w:val="-2"/>
          <w:sz w:val="20"/>
          <w:szCs w:val="20"/>
        </w:rPr>
        <w:t xml:space="preserve">Ihling C, Szombathy T, Bohrmann B, Brockhaus M, Schaefer HE, Loeffler BM. Coexpression of endothelin-converting enzyme-1 and endothelin-1 in different stages of human atherosclerosis. Circulation. 2001; 104:864-69. </w:t>
      </w:r>
    </w:p>
    <w:p w14:paraId="47AB88A4"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449" w:tgtFrame="_blank" w:history="1">
        <w:r w:rsidRPr="00C10BBC">
          <w:rPr>
            <w:rFonts w:ascii="Calibri" w:eastAsia="Times New Roman" w:hAnsi="Calibri" w:cstheme="minorHAnsi"/>
            <w:color w:val="0000FF"/>
            <w:spacing w:val="-2"/>
            <w:sz w:val="20"/>
            <w:szCs w:val="20"/>
            <w:u w:val="single"/>
          </w:rPr>
          <w:t>https://doi.org/10.1161/hc3301.094742</w:t>
        </w:r>
      </w:hyperlink>
      <w:r w:rsidRPr="00C10BBC">
        <w:rPr>
          <w:rFonts w:ascii="Calibri" w:eastAsia="Times New Roman" w:hAnsi="Calibri" w:cstheme="minorHAnsi"/>
          <w:spacing w:val="-2"/>
          <w:sz w:val="20"/>
          <w:szCs w:val="20"/>
        </w:rPr>
        <w:t xml:space="preserve"> </w:t>
      </w:r>
    </w:p>
    <w:p w14:paraId="1AA5C576"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450"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11514370</w:t>
        </w:r>
      </w:hyperlink>
      <w:r w:rsidRPr="00C10BBC">
        <w:rPr>
          <w:rFonts w:ascii="Calibri" w:eastAsia="Times New Roman" w:hAnsi="Calibri" w:cstheme="minorHAnsi"/>
          <w:spacing w:val="-2"/>
          <w:sz w:val="20"/>
          <w:szCs w:val="20"/>
        </w:rPr>
        <w:t xml:space="preserve"> </w:t>
      </w:r>
    </w:p>
    <w:p w14:paraId="6495028D"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223.</w:t>
      </w:r>
      <w:r w:rsidRPr="00C10BBC">
        <w:rPr>
          <w:rFonts w:ascii="Calibri" w:eastAsia="Times New Roman" w:hAnsi="Calibri" w:cstheme="minorHAnsi"/>
          <w:spacing w:val="-2"/>
          <w:sz w:val="20"/>
          <w:szCs w:val="20"/>
        </w:rPr>
        <w:tab/>
      </w:r>
      <w:bookmarkStart w:id="449" w:name="b223"/>
      <w:bookmarkStart w:id="450" w:name="idm1155193808"/>
      <w:bookmarkEnd w:id="449"/>
      <w:bookmarkEnd w:id="450"/>
      <w:r w:rsidRPr="00C10BBC">
        <w:rPr>
          <w:rFonts w:ascii="Calibri" w:eastAsia="Times New Roman" w:hAnsi="Calibri" w:cstheme="minorHAnsi"/>
          <w:spacing w:val="-2"/>
          <w:sz w:val="20"/>
          <w:szCs w:val="20"/>
        </w:rPr>
        <w:t xml:space="preserve">Tian FJ, An LN, Wang GK, Zhu JQ, Li Q, Zhang YY, Zeng A, Zou J, Zhu RF, Han XS, Shen N, Yang HT, Zhao XX, et al. Elevated microRNA-155 promotes foam cell formation by targeting HBP1 in atherogenesis. Cardiovasc Res. 2014; 103:100-10. </w:t>
      </w:r>
    </w:p>
    <w:p w14:paraId="438FCE63"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451" w:tgtFrame="_blank" w:history="1">
        <w:r w:rsidRPr="00C10BBC">
          <w:rPr>
            <w:rFonts w:ascii="Calibri" w:eastAsia="Times New Roman" w:hAnsi="Calibri" w:cstheme="minorHAnsi"/>
            <w:color w:val="0000FF"/>
            <w:spacing w:val="-2"/>
            <w:sz w:val="20"/>
            <w:szCs w:val="20"/>
            <w:u w:val="single"/>
          </w:rPr>
          <w:t>https://doi.org/10.1093/cvr/cvu070</w:t>
        </w:r>
      </w:hyperlink>
      <w:r w:rsidRPr="00C10BBC">
        <w:rPr>
          <w:rFonts w:ascii="Calibri" w:eastAsia="Times New Roman" w:hAnsi="Calibri" w:cstheme="minorHAnsi"/>
          <w:spacing w:val="-2"/>
          <w:sz w:val="20"/>
          <w:szCs w:val="20"/>
        </w:rPr>
        <w:t xml:space="preserve"> </w:t>
      </w:r>
    </w:p>
    <w:p w14:paraId="7EED8CC5"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452"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24675724</w:t>
        </w:r>
      </w:hyperlink>
      <w:r w:rsidRPr="00C10BBC">
        <w:rPr>
          <w:rFonts w:ascii="Calibri" w:eastAsia="Times New Roman" w:hAnsi="Calibri" w:cstheme="minorHAnsi"/>
          <w:spacing w:val="-2"/>
          <w:sz w:val="20"/>
          <w:szCs w:val="20"/>
        </w:rPr>
        <w:t xml:space="preserve"> </w:t>
      </w:r>
    </w:p>
    <w:p w14:paraId="7A3E557A"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224.</w:t>
      </w:r>
      <w:r w:rsidRPr="00C10BBC">
        <w:rPr>
          <w:rFonts w:ascii="Calibri" w:eastAsia="Times New Roman" w:hAnsi="Calibri" w:cstheme="minorHAnsi"/>
          <w:spacing w:val="-2"/>
          <w:sz w:val="20"/>
          <w:szCs w:val="20"/>
        </w:rPr>
        <w:tab/>
      </w:r>
      <w:bookmarkStart w:id="451" w:name="b224"/>
      <w:bookmarkStart w:id="452" w:name="idm1157611232"/>
      <w:bookmarkEnd w:id="451"/>
      <w:bookmarkEnd w:id="452"/>
      <w:r w:rsidRPr="00C10BBC">
        <w:rPr>
          <w:rFonts w:ascii="Calibri" w:eastAsia="Times New Roman" w:hAnsi="Calibri" w:cstheme="minorHAnsi"/>
          <w:spacing w:val="-2"/>
          <w:sz w:val="20"/>
          <w:szCs w:val="20"/>
        </w:rPr>
        <w:t xml:space="preserve">Ni CW, Qiu H, Rezvan A, Kwon K, Nam D, Son DJ, Visvader JE, Jo H. Discovery of novel mechanosensitive genes in vivo using mouse carotid artery endothelium exposed to disturbed flow. Blood. 2010; 116:e66-73. </w:t>
      </w:r>
    </w:p>
    <w:p w14:paraId="44622986"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453" w:tgtFrame="_blank" w:history="1">
        <w:r w:rsidRPr="00C10BBC">
          <w:rPr>
            <w:rFonts w:ascii="Calibri" w:eastAsia="Times New Roman" w:hAnsi="Calibri" w:cstheme="minorHAnsi"/>
            <w:color w:val="0000FF"/>
            <w:spacing w:val="-2"/>
            <w:sz w:val="20"/>
            <w:szCs w:val="20"/>
            <w:u w:val="single"/>
          </w:rPr>
          <w:t>https://doi.org/10.1182/blood-2010-04-278192</w:t>
        </w:r>
      </w:hyperlink>
      <w:r w:rsidRPr="00C10BBC">
        <w:rPr>
          <w:rFonts w:ascii="Calibri" w:eastAsia="Times New Roman" w:hAnsi="Calibri" w:cstheme="minorHAnsi"/>
          <w:spacing w:val="-2"/>
          <w:sz w:val="20"/>
          <w:szCs w:val="20"/>
        </w:rPr>
        <w:t xml:space="preserve"> </w:t>
      </w:r>
    </w:p>
    <w:p w14:paraId="04DFCB6E"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454"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20551377</w:t>
        </w:r>
      </w:hyperlink>
      <w:r w:rsidRPr="00C10BBC">
        <w:rPr>
          <w:rFonts w:ascii="Calibri" w:eastAsia="Times New Roman" w:hAnsi="Calibri" w:cstheme="minorHAnsi"/>
          <w:spacing w:val="-2"/>
          <w:sz w:val="20"/>
          <w:szCs w:val="20"/>
        </w:rPr>
        <w:t xml:space="preserve"> </w:t>
      </w:r>
    </w:p>
    <w:p w14:paraId="188BF4F5"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225.</w:t>
      </w:r>
      <w:r w:rsidRPr="00C10BBC">
        <w:rPr>
          <w:rFonts w:ascii="Calibri" w:eastAsia="Times New Roman" w:hAnsi="Calibri" w:cstheme="minorHAnsi"/>
          <w:spacing w:val="-2"/>
          <w:sz w:val="20"/>
          <w:szCs w:val="20"/>
        </w:rPr>
        <w:tab/>
      </w:r>
      <w:bookmarkStart w:id="453" w:name="b225"/>
      <w:bookmarkStart w:id="454" w:name="idm1161805408"/>
      <w:bookmarkEnd w:id="453"/>
      <w:bookmarkEnd w:id="454"/>
      <w:r w:rsidRPr="00C10BBC">
        <w:rPr>
          <w:rFonts w:ascii="Calibri" w:eastAsia="Times New Roman" w:hAnsi="Calibri" w:cstheme="minorHAnsi"/>
          <w:spacing w:val="-2"/>
          <w:sz w:val="20"/>
          <w:szCs w:val="20"/>
        </w:rPr>
        <w:t xml:space="preserve">Lee WH, Kim SH, Lee Y, Lee BB, Kwon B, Song H, Kwon BS, Park JE. Tumor necrosis factor receptor superfamily 14 is involved in atherogenesis by inducing proinflammatory cytokines and matrix metalloproteinases. Arterioscler Thromb Vasc Biol. 2001; 21:2004-10. </w:t>
      </w:r>
    </w:p>
    <w:p w14:paraId="4C41251C"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455" w:tgtFrame="_blank" w:history="1">
        <w:r w:rsidRPr="00C10BBC">
          <w:rPr>
            <w:rFonts w:ascii="Calibri" w:eastAsia="Times New Roman" w:hAnsi="Calibri" w:cstheme="minorHAnsi"/>
            <w:color w:val="0000FF"/>
            <w:spacing w:val="-2"/>
            <w:sz w:val="20"/>
            <w:szCs w:val="20"/>
            <w:u w:val="single"/>
          </w:rPr>
          <w:t>https://doi.org/10.1161/hq1201.098945</w:t>
        </w:r>
      </w:hyperlink>
      <w:r w:rsidRPr="00C10BBC">
        <w:rPr>
          <w:rFonts w:ascii="Calibri" w:eastAsia="Times New Roman" w:hAnsi="Calibri" w:cstheme="minorHAnsi"/>
          <w:spacing w:val="-2"/>
          <w:sz w:val="20"/>
          <w:szCs w:val="20"/>
        </w:rPr>
        <w:t xml:space="preserve"> </w:t>
      </w:r>
    </w:p>
    <w:p w14:paraId="7A396F4C"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456"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11742877</w:t>
        </w:r>
      </w:hyperlink>
      <w:r w:rsidRPr="00C10BBC">
        <w:rPr>
          <w:rFonts w:ascii="Calibri" w:eastAsia="Times New Roman" w:hAnsi="Calibri" w:cstheme="minorHAnsi"/>
          <w:spacing w:val="-2"/>
          <w:sz w:val="20"/>
          <w:szCs w:val="20"/>
        </w:rPr>
        <w:t xml:space="preserve"> </w:t>
      </w:r>
    </w:p>
    <w:p w14:paraId="086FA56F"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226.</w:t>
      </w:r>
      <w:r w:rsidRPr="00C10BBC">
        <w:rPr>
          <w:rFonts w:ascii="Calibri" w:eastAsia="Times New Roman" w:hAnsi="Calibri" w:cstheme="minorHAnsi"/>
          <w:spacing w:val="-2"/>
          <w:sz w:val="20"/>
          <w:szCs w:val="20"/>
        </w:rPr>
        <w:tab/>
      </w:r>
      <w:bookmarkStart w:id="455" w:name="b226"/>
      <w:bookmarkStart w:id="456" w:name="idm1155301712"/>
      <w:bookmarkEnd w:id="455"/>
      <w:bookmarkEnd w:id="456"/>
      <w:r w:rsidRPr="00C10BBC">
        <w:rPr>
          <w:rFonts w:ascii="Calibri" w:eastAsia="Times New Roman" w:hAnsi="Calibri" w:cstheme="minorHAnsi"/>
          <w:spacing w:val="-2"/>
          <w:sz w:val="20"/>
          <w:szCs w:val="20"/>
        </w:rPr>
        <w:t xml:space="preserve">Shen J, Shang Q, Wong CK, Li EK, Wang S, Li RJ, Lee KL, Leung YY, Ying KY, Yim CW, Kun EW, Leung MH, Li M, et al. IL-33 and soluble ST2 levels as novel predictors for remission and progression of carotid plaque in early rheumatoid arthritis: A prospective study. Semin Arthritis Rheum. 2015; 45:18-27. </w:t>
      </w:r>
    </w:p>
    <w:p w14:paraId="3E2A3950"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457" w:tgtFrame="_blank" w:history="1">
        <w:r w:rsidRPr="00C10BBC">
          <w:rPr>
            <w:rFonts w:ascii="Calibri" w:eastAsia="Times New Roman" w:hAnsi="Calibri" w:cstheme="minorHAnsi"/>
            <w:color w:val="0000FF"/>
            <w:spacing w:val="-2"/>
            <w:sz w:val="20"/>
            <w:szCs w:val="20"/>
            <w:u w:val="single"/>
          </w:rPr>
          <w:t>https://doi.org/10.1016/j.semarthrit.2015.02.001</w:t>
        </w:r>
      </w:hyperlink>
      <w:r w:rsidRPr="00C10BBC">
        <w:rPr>
          <w:rFonts w:ascii="Calibri" w:eastAsia="Times New Roman" w:hAnsi="Calibri" w:cstheme="minorHAnsi"/>
          <w:spacing w:val="-2"/>
          <w:sz w:val="20"/>
          <w:szCs w:val="20"/>
        </w:rPr>
        <w:t xml:space="preserve"> </w:t>
      </w:r>
    </w:p>
    <w:p w14:paraId="74E58F6C"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458"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25798875</w:t>
        </w:r>
      </w:hyperlink>
      <w:r w:rsidRPr="00C10BBC">
        <w:rPr>
          <w:rFonts w:ascii="Calibri" w:eastAsia="Times New Roman" w:hAnsi="Calibri" w:cstheme="minorHAnsi"/>
          <w:spacing w:val="-2"/>
          <w:sz w:val="20"/>
          <w:szCs w:val="20"/>
        </w:rPr>
        <w:t xml:space="preserve"> </w:t>
      </w:r>
    </w:p>
    <w:p w14:paraId="25BC0883"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227.</w:t>
      </w:r>
      <w:r w:rsidRPr="00C10BBC">
        <w:rPr>
          <w:rFonts w:ascii="Calibri" w:eastAsia="Times New Roman" w:hAnsi="Calibri" w:cstheme="minorHAnsi"/>
          <w:spacing w:val="-2"/>
          <w:sz w:val="20"/>
          <w:szCs w:val="20"/>
        </w:rPr>
        <w:tab/>
      </w:r>
      <w:bookmarkStart w:id="457" w:name="b227"/>
      <w:bookmarkStart w:id="458" w:name="idm1006489776"/>
      <w:bookmarkEnd w:id="457"/>
      <w:bookmarkEnd w:id="458"/>
      <w:r w:rsidRPr="00C10BBC">
        <w:rPr>
          <w:rFonts w:ascii="Calibri" w:eastAsia="Times New Roman" w:hAnsi="Calibri" w:cstheme="minorHAnsi"/>
          <w:spacing w:val="-2"/>
          <w:sz w:val="20"/>
          <w:szCs w:val="20"/>
        </w:rPr>
        <w:t xml:space="preserve">Haley KJ, Lilly CM, Yang JH, Feng Y, Kennedy SP, Turi TG, Thompson JF, Sukhova GH, Libby P, Lee RT. Overexpression of eotaxin and the CCR3 receptor in human atherosclerosis: using genomic technology to identify a potential novel pathway of vascular inflammation. Circulation. 2000; 102:2185-89. </w:t>
      </w:r>
    </w:p>
    <w:p w14:paraId="399F612F"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459" w:tgtFrame="_blank" w:history="1">
        <w:r w:rsidRPr="00C10BBC">
          <w:rPr>
            <w:rFonts w:ascii="Calibri" w:eastAsia="Times New Roman" w:hAnsi="Calibri" w:cstheme="minorHAnsi"/>
            <w:color w:val="0000FF"/>
            <w:spacing w:val="-2"/>
            <w:sz w:val="20"/>
            <w:szCs w:val="20"/>
            <w:u w:val="single"/>
          </w:rPr>
          <w:t>https://doi.org/10.1161/01.CIR.102.18.2185</w:t>
        </w:r>
      </w:hyperlink>
      <w:r w:rsidRPr="00C10BBC">
        <w:rPr>
          <w:rFonts w:ascii="Calibri" w:eastAsia="Times New Roman" w:hAnsi="Calibri" w:cstheme="minorHAnsi"/>
          <w:spacing w:val="-2"/>
          <w:sz w:val="20"/>
          <w:szCs w:val="20"/>
        </w:rPr>
        <w:t xml:space="preserve"> </w:t>
      </w:r>
    </w:p>
    <w:p w14:paraId="32600884"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460"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11056090</w:t>
        </w:r>
      </w:hyperlink>
    </w:p>
    <w:p w14:paraId="29336B86"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eastAsia="Times New Roman" w:hAnsi="Calibri" w:cstheme="minorHAnsi"/>
          <w:spacing w:val="-2"/>
          <w:sz w:val="20"/>
          <w:szCs w:val="20"/>
        </w:rPr>
        <w:t>228.</w:t>
      </w:r>
      <w:r w:rsidRPr="00C10BBC">
        <w:rPr>
          <w:rFonts w:ascii="Calibri" w:eastAsia="Times New Roman" w:hAnsi="Calibri" w:cstheme="minorHAnsi"/>
          <w:spacing w:val="-2"/>
          <w:sz w:val="20"/>
          <w:szCs w:val="20"/>
        </w:rPr>
        <w:tab/>
      </w:r>
      <w:bookmarkStart w:id="459" w:name="b228"/>
      <w:bookmarkStart w:id="460" w:name="idm1150534992"/>
      <w:bookmarkEnd w:id="459"/>
      <w:bookmarkEnd w:id="460"/>
      <w:r w:rsidRPr="00C10BBC">
        <w:rPr>
          <w:rFonts w:ascii="Calibri" w:eastAsia="Times New Roman" w:hAnsi="Calibri" w:cstheme="minorHAnsi"/>
          <w:spacing w:val="-2"/>
          <w:sz w:val="20"/>
          <w:szCs w:val="20"/>
        </w:rPr>
        <w:t>Martin-Lorenzo M, Zubiri I, Maroto AS, Gonzalez-Calero L, Posada-Ayala M, de la Cuesta F, Mourino-Alvarez L, Lopez-Almodovar LF, Calvo-Bonacho E, Ruilope LM, Padial LR, Barderas MG, Vivanco F, et al. KLK1 and ZG16B proteins and arginine-proline metabolism identified as novel targets to monitor atherosclerosis, acute coronary syndrome and recovery. Metabolomics. 2015; 11:1056-1067.</w:t>
      </w:r>
      <w:r>
        <w:rPr>
          <w:rFonts w:ascii="Calibri" w:eastAsia="Times New Roman" w:hAnsi="Calibri" w:cstheme="minorHAnsi"/>
          <w:spacing w:val="-2"/>
          <w:sz w:val="20"/>
          <w:szCs w:val="20"/>
          <w:u w:val="single"/>
        </w:rPr>
        <w:t xml:space="preserve"> </w:t>
      </w:r>
      <w:hyperlink r:id="rId461" w:history="1">
        <w:r w:rsidRPr="00F6140E">
          <w:rPr>
            <w:rStyle w:val="Hyperlink"/>
            <w:rFonts w:ascii="Calibri" w:eastAsia="Times New Roman" w:hAnsi="Calibri" w:cstheme="minorHAnsi"/>
            <w:spacing w:val="-2"/>
            <w:sz w:val="20"/>
            <w:szCs w:val="20"/>
          </w:rPr>
          <w:t>https://doi.org/10.1007/s11306-014-0761-8</w:t>
        </w:r>
      </w:hyperlink>
      <w:r>
        <w:rPr>
          <w:rFonts w:ascii="Calibri" w:eastAsia="Times New Roman" w:hAnsi="Calibri" w:cstheme="minorHAnsi"/>
          <w:spacing w:val="-2"/>
          <w:sz w:val="20"/>
          <w:szCs w:val="20"/>
          <w:u w:val="single"/>
        </w:rPr>
        <w:t xml:space="preserve"> </w:t>
      </w:r>
      <w:r w:rsidRPr="00C10BBC">
        <w:rPr>
          <w:rFonts w:ascii="Calibri" w:eastAsia="Times New Roman" w:hAnsi="Calibri" w:cstheme="minorHAnsi"/>
          <w:spacing w:val="-2"/>
          <w:sz w:val="20"/>
          <w:szCs w:val="20"/>
        </w:rPr>
        <w:t>PMID:</w:t>
      </w:r>
      <w:hyperlink r:id="rId462" w:history="1">
        <w:r w:rsidRPr="009E6105">
          <w:rPr>
            <w:rStyle w:val="Hyperlink"/>
            <w:rFonts w:ascii="Calibri" w:eastAsia="Times New Roman" w:hAnsi="Calibri" w:cstheme="minorHAnsi"/>
            <w:spacing w:val="-2"/>
            <w:sz w:val="20"/>
            <w:szCs w:val="20"/>
          </w:rPr>
          <w:t>26413039</w:t>
        </w:r>
      </w:hyperlink>
    </w:p>
    <w:p w14:paraId="34B0B6AB"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229.</w:t>
      </w:r>
      <w:r w:rsidRPr="00C10BBC">
        <w:rPr>
          <w:rFonts w:ascii="Calibri" w:eastAsia="Times New Roman" w:hAnsi="Calibri" w:cstheme="minorHAnsi"/>
          <w:spacing w:val="-2"/>
          <w:sz w:val="20"/>
          <w:szCs w:val="20"/>
        </w:rPr>
        <w:tab/>
      </w:r>
      <w:bookmarkStart w:id="461" w:name="b229"/>
      <w:bookmarkStart w:id="462" w:name="idm1011636192"/>
      <w:bookmarkEnd w:id="461"/>
      <w:bookmarkEnd w:id="462"/>
      <w:r w:rsidRPr="00C10BBC">
        <w:rPr>
          <w:rFonts w:ascii="Calibri" w:eastAsia="Times New Roman" w:hAnsi="Calibri" w:cstheme="minorHAnsi"/>
          <w:spacing w:val="-2"/>
          <w:sz w:val="20"/>
          <w:szCs w:val="20"/>
        </w:rPr>
        <w:t xml:space="preserve">Medina I, Cougoule C, Drechsler M, Bermudez B, Koenen RR, Sluimer J, Wolfs I, Doring Y, Herias V, Gijbels M, Bot I, de Jager S, Weber C, et al. Hck/Fgr Kinase Deficiency Reduces Plaque Growth and Stability by Blunting Monocyte Recruitment and Intraplaque Motility. Circulation. 2015; 132:490-501. </w:t>
      </w:r>
    </w:p>
    <w:p w14:paraId="7A5C806E"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463" w:tgtFrame="_blank" w:history="1">
        <w:r w:rsidRPr="00C10BBC">
          <w:rPr>
            <w:rFonts w:ascii="Calibri" w:eastAsia="Times New Roman" w:hAnsi="Calibri" w:cstheme="minorHAnsi"/>
            <w:color w:val="0000FF"/>
            <w:spacing w:val="-2"/>
            <w:sz w:val="20"/>
            <w:szCs w:val="20"/>
            <w:u w:val="single"/>
          </w:rPr>
          <w:t>https://doi.org/10.1161/CIRCULATIONAHA.114.012316</w:t>
        </w:r>
      </w:hyperlink>
      <w:r w:rsidRPr="00C10BBC">
        <w:rPr>
          <w:rFonts w:ascii="Calibri" w:eastAsia="Times New Roman" w:hAnsi="Calibri" w:cstheme="minorHAnsi"/>
          <w:spacing w:val="-2"/>
          <w:sz w:val="20"/>
          <w:szCs w:val="20"/>
        </w:rPr>
        <w:t xml:space="preserve"> </w:t>
      </w:r>
    </w:p>
    <w:p w14:paraId="49B7F2A6"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464"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26068045</w:t>
        </w:r>
      </w:hyperlink>
      <w:r w:rsidRPr="00C10BBC">
        <w:rPr>
          <w:rFonts w:ascii="Calibri" w:eastAsia="Times New Roman" w:hAnsi="Calibri" w:cstheme="minorHAnsi"/>
          <w:spacing w:val="-2"/>
          <w:sz w:val="20"/>
          <w:szCs w:val="20"/>
        </w:rPr>
        <w:t xml:space="preserve"> </w:t>
      </w:r>
    </w:p>
    <w:p w14:paraId="30E4995B"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230.</w:t>
      </w:r>
      <w:r w:rsidRPr="00C10BBC">
        <w:rPr>
          <w:rFonts w:ascii="Calibri" w:eastAsia="Times New Roman" w:hAnsi="Calibri" w:cstheme="minorHAnsi"/>
          <w:spacing w:val="-2"/>
          <w:sz w:val="20"/>
          <w:szCs w:val="20"/>
        </w:rPr>
        <w:tab/>
      </w:r>
      <w:bookmarkStart w:id="463" w:name="b230"/>
      <w:bookmarkStart w:id="464" w:name="idm1142660960"/>
      <w:bookmarkEnd w:id="463"/>
      <w:bookmarkEnd w:id="464"/>
      <w:r w:rsidRPr="00C10BBC">
        <w:rPr>
          <w:rFonts w:ascii="Calibri" w:eastAsia="Times New Roman" w:hAnsi="Calibri" w:cstheme="minorHAnsi"/>
          <w:spacing w:val="-2"/>
          <w:sz w:val="20"/>
          <w:szCs w:val="20"/>
        </w:rPr>
        <w:t xml:space="preserve">Malhotra R, Wunderer F, Barnes HJ, Bagchi A, Buswell MD, O'Rourke CD, Slocum CL, Ledsky CD, Peneyra KM, Sigurslid H, Corman B, Johansson KB, Rhee DK, et al. Hepcidin Deficiency Protects Against Atherosclerosis. Arterioscler Thromb Vasc Biol. 2019; 39:178-87. </w:t>
      </w:r>
    </w:p>
    <w:p w14:paraId="4CDC03BC"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465" w:tgtFrame="_blank" w:history="1">
        <w:r w:rsidRPr="00C10BBC">
          <w:rPr>
            <w:rFonts w:ascii="Calibri" w:eastAsia="Times New Roman" w:hAnsi="Calibri" w:cstheme="minorHAnsi"/>
            <w:color w:val="0000FF"/>
            <w:spacing w:val="-2"/>
            <w:sz w:val="20"/>
            <w:szCs w:val="20"/>
            <w:u w:val="single"/>
          </w:rPr>
          <w:t>https://doi.org/10.1161/ATVBAHA.118.312215</w:t>
        </w:r>
      </w:hyperlink>
      <w:r w:rsidRPr="00C10BBC">
        <w:rPr>
          <w:rFonts w:ascii="Calibri" w:eastAsia="Times New Roman" w:hAnsi="Calibri" w:cstheme="minorHAnsi"/>
          <w:spacing w:val="-2"/>
          <w:sz w:val="20"/>
          <w:szCs w:val="20"/>
        </w:rPr>
        <w:t xml:space="preserve"> </w:t>
      </w:r>
    </w:p>
    <w:p w14:paraId="2F882EAC"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466"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30587002</w:t>
        </w:r>
      </w:hyperlink>
      <w:r w:rsidRPr="00C10BBC">
        <w:rPr>
          <w:rFonts w:ascii="Calibri" w:eastAsia="Times New Roman" w:hAnsi="Calibri" w:cstheme="minorHAnsi"/>
          <w:spacing w:val="-2"/>
          <w:sz w:val="20"/>
          <w:szCs w:val="20"/>
        </w:rPr>
        <w:t xml:space="preserve"> </w:t>
      </w:r>
    </w:p>
    <w:p w14:paraId="16733B21"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231.</w:t>
      </w:r>
      <w:r w:rsidRPr="00C10BBC">
        <w:rPr>
          <w:rFonts w:ascii="Calibri" w:eastAsia="Times New Roman" w:hAnsi="Calibri" w:cstheme="minorHAnsi"/>
          <w:spacing w:val="-2"/>
          <w:sz w:val="20"/>
          <w:szCs w:val="20"/>
        </w:rPr>
        <w:tab/>
      </w:r>
      <w:bookmarkStart w:id="465" w:name="b231"/>
      <w:bookmarkStart w:id="466" w:name="idm1000318336"/>
      <w:bookmarkEnd w:id="465"/>
      <w:bookmarkEnd w:id="466"/>
      <w:r w:rsidRPr="00C10BBC">
        <w:rPr>
          <w:rFonts w:ascii="Calibri" w:eastAsia="Times New Roman" w:hAnsi="Calibri" w:cstheme="minorHAnsi"/>
          <w:spacing w:val="-2"/>
          <w:sz w:val="20"/>
          <w:szCs w:val="20"/>
        </w:rPr>
        <w:t xml:space="preserve">Li R, Paul A, Ko KW, Sheldon M, Rich BE, Terashima T, Dieker C, Cormier S, Li L, Nour EA, Chan L, Oka K. Interleukin-7 induces recruitment of monocytes/macrophages to endothelium. Eur Heart J. 2012; 33:3114-23. </w:t>
      </w:r>
    </w:p>
    <w:p w14:paraId="5DB00EC5"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467" w:tgtFrame="_blank" w:history="1">
        <w:r w:rsidRPr="00C10BBC">
          <w:rPr>
            <w:rFonts w:ascii="Calibri" w:eastAsia="Times New Roman" w:hAnsi="Calibri" w:cstheme="minorHAnsi"/>
            <w:color w:val="0000FF"/>
            <w:spacing w:val="-2"/>
            <w:sz w:val="20"/>
            <w:szCs w:val="20"/>
            <w:u w:val="single"/>
          </w:rPr>
          <w:t>https://doi.org/10.1093/eurheartj/ehr245</w:t>
        </w:r>
      </w:hyperlink>
      <w:r w:rsidRPr="00C10BBC">
        <w:rPr>
          <w:rFonts w:ascii="Calibri" w:eastAsia="Times New Roman" w:hAnsi="Calibri" w:cstheme="minorHAnsi"/>
          <w:spacing w:val="-2"/>
          <w:sz w:val="20"/>
          <w:szCs w:val="20"/>
        </w:rPr>
        <w:t xml:space="preserve"> </w:t>
      </w:r>
    </w:p>
    <w:p w14:paraId="463374BB"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468"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21804111</w:t>
        </w:r>
      </w:hyperlink>
      <w:r w:rsidRPr="00C10BBC">
        <w:rPr>
          <w:rFonts w:ascii="Calibri" w:eastAsia="Times New Roman" w:hAnsi="Calibri" w:cstheme="minorHAnsi"/>
          <w:spacing w:val="-2"/>
          <w:sz w:val="20"/>
          <w:szCs w:val="20"/>
        </w:rPr>
        <w:t xml:space="preserve"> </w:t>
      </w:r>
    </w:p>
    <w:p w14:paraId="3F12099E"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232.</w:t>
      </w:r>
      <w:r w:rsidRPr="00C10BBC">
        <w:rPr>
          <w:rFonts w:ascii="Calibri" w:eastAsia="Times New Roman" w:hAnsi="Calibri" w:cstheme="minorHAnsi"/>
          <w:spacing w:val="-2"/>
          <w:sz w:val="20"/>
          <w:szCs w:val="20"/>
        </w:rPr>
        <w:tab/>
      </w:r>
      <w:bookmarkStart w:id="467" w:name="b232"/>
      <w:bookmarkStart w:id="468" w:name="idm1156526816"/>
      <w:bookmarkEnd w:id="467"/>
      <w:bookmarkEnd w:id="468"/>
      <w:r w:rsidRPr="00C10BBC">
        <w:rPr>
          <w:rFonts w:ascii="Calibri" w:eastAsia="Times New Roman" w:hAnsi="Calibri" w:cstheme="minorHAnsi"/>
          <w:spacing w:val="-2"/>
          <w:sz w:val="20"/>
          <w:szCs w:val="20"/>
        </w:rPr>
        <w:t xml:space="preserve">Tran-Lundmark K, Tran PK, Paulsson-Berne G, Friden V, Soininen R, Tryggvason K, Wight TN, Kinsella MG, Boren J, Hedin U. Heparan sulfate in perlecan promotes mouse atherosclerosis: roles in lipid permeability, lipid retention, and smooth muscle cell proliferation. Circ Res. 2008; 103:43-52. </w:t>
      </w:r>
    </w:p>
    <w:p w14:paraId="3207CA84"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469" w:tgtFrame="_blank" w:history="1">
        <w:r w:rsidRPr="00C10BBC">
          <w:rPr>
            <w:rFonts w:ascii="Calibri" w:eastAsia="Times New Roman" w:hAnsi="Calibri" w:cstheme="minorHAnsi"/>
            <w:color w:val="0000FF"/>
            <w:spacing w:val="-2"/>
            <w:sz w:val="20"/>
            <w:szCs w:val="20"/>
            <w:u w:val="single"/>
          </w:rPr>
          <w:t>https://doi.org/10.1161/CIRCRESAHA.107.172833</w:t>
        </w:r>
      </w:hyperlink>
      <w:r w:rsidRPr="00C10BBC">
        <w:rPr>
          <w:rFonts w:ascii="Calibri" w:eastAsia="Times New Roman" w:hAnsi="Calibri" w:cstheme="minorHAnsi"/>
          <w:spacing w:val="-2"/>
          <w:sz w:val="20"/>
          <w:szCs w:val="20"/>
        </w:rPr>
        <w:t xml:space="preserve"> </w:t>
      </w:r>
    </w:p>
    <w:p w14:paraId="6FF0F4CE"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470"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18596265</w:t>
        </w:r>
      </w:hyperlink>
    </w:p>
    <w:p w14:paraId="09EC6E49"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233.</w:t>
      </w:r>
      <w:r w:rsidRPr="00C10BBC">
        <w:rPr>
          <w:rFonts w:ascii="Calibri" w:eastAsia="Times New Roman" w:hAnsi="Calibri" w:cstheme="minorHAnsi"/>
          <w:spacing w:val="-2"/>
          <w:sz w:val="20"/>
          <w:szCs w:val="20"/>
        </w:rPr>
        <w:tab/>
      </w:r>
      <w:bookmarkStart w:id="469" w:name="b233"/>
      <w:bookmarkStart w:id="470" w:name="idm1172816880"/>
      <w:bookmarkEnd w:id="469"/>
      <w:bookmarkEnd w:id="470"/>
      <w:r w:rsidRPr="00C10BBC">
        <w:rPr>
          <w:rFonts w:ascii="Calibri" w:eastAsia="Times New Roman" w:hAnsi="Calibri" w:cstheme="minorHAnsi"/>
          <w:spacing w:val="-2"/>
          <w:sz w:val="20"/>
          <w:szCs w:val="20"/>
        </w:rPr>
        <w:t xml:space="preserve">Liberale L, Bertolotto M, Carbone F, Contini P, Wust P, Spinella G, Pane B, Palombo D, Bonaventura A, Pende A, Mach F, Dallegri F, Camici GG, Montecucco F. Resistin exerts a beneficial role in atherosclerotic plaque inflammation by inhibiting neutrophil migration. Int J Cardiol. 2018; 272:13-19. </w:t>
      </w:r>
    </w:p>
    <w:p w14:paraId="4E4FAC21"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471" w:tgtFrame="_blank" w:history="1">
        <w:r w:rsidRPr="00C10BBC">
          <w:rPr>
            <w:rFonts w:ascii="Calibri" w:eastAsia="Times New Roman" w:hAnsi="Calibri" w:cstheme="minorHAnsi"/>
            <w:color w:val="0000FF"/>
            <w:spacing w:val="-2"/>
            <w:sz w:val="20"/>
            <w:szCs w:val="20"/>
            <w:u w:val="single"/>
          </w:rPr>
          <w:t>https://doi.org/10.1016/j.ijcard.2018.07.112</w:t>
        </w:r>
      </w:hyperlink>
      <w:r w:rsidRPr="00C10BBC">
        <w:rPr>
          <w:rFonts w:ascii="Calibri" w:eastAsia="Times New Roman" w:hAnsi="Calibri" w:cstheme="minorHAnsi"/>
          <w:spacing w:val="-2"/>
          <w:sz w:val="20"/>
          <w:szCs w:val="20"/>
        </w:rPr>
        <w:t xml:space="preserve"> </w:t>
      </w:r>
    </w:p>
    <w:p w14:paraId="618B3E03"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472"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30075966</w:t>
        </w:r>
      </w:hyperlink>
      <w:r w:rsidRPr="00C10BBC">
        <w:rPr>
          <w:rFonts w:ascii="Calibri" w:eastAsia="Times New Roman" w:hAnsi="Calibri" w:cstheme="minorHAnsi"/>
          <w:spacing w:val="-2"/>
          <w:sz w:val="20"/>
          <w:szCs w:val="20"/>
        </w:rPr>
        <w:t xml:space="preserve"> </w:t>
      </w:r>
    </w:p>
    <w:p w14:paraId="35D6D2A1"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234.</w:t>
      </w:r>
      <w:r w:rsidRPr="00C10BBC">
        <w:rPr>
          <w:rFonts w:ascii="Calibri" w:eastAsia="Times New Roman" w:hAnsi="Calibri" w:cstheme="minorHAnsi"/>
          <w:spacing w:val="-2"/>
          <w:sz w:val="20"/>
          <w:szCs w:val="20"/>
        </w:rPr>
        <w:tab/>
      </w:r>
      <w:bookmarkStart w:id="471" w:name="b234"/>
      <w:bookmarkStart w:id="472" w:name="idm1152870336"/>
      <w:bookmarkEnd w:id="471"/>
      <w:bookmarkEnd w:id="472"/>
      <w:r w:rsidRPr="00C10BBC">
        <w:rPr>
          <w:rFonts w:ascii="Calibri" w:eastAsia="Times New Roman" w:hAnsi="Calibri" w:cstheme="minorHAnsi"/>
          <w:spacing w:val="-2"/>
          <w:sz w:val="20"/>
          <w:szCs w:val="20"/>
        </w:rPr>
        <w:t xml:space="preserve">Liu J, Guo K, Hu L, Luo T, Ma Y, Zhang Y, Lai W, Guo Z. ZAP70 deficiency promotes reverse cholesterol transport through MAPK/ERK pathway in Jurkat cell. Mol Immunol. 2019; 107:21-28. </w:t>
      </w:r>
    </w:p>
    <w:p w14:paraId="0D5B46A7"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473" w:tgtFrame="_blank" w:history="1">
        <w:r w:rsidRPr="00C10BBC">
          <w:rPr>
            <w:rFonts w:ascii="Calibri" w:eastAsia="Times New Roman" w:hAnsi="Calibri" w:cstheme="minorHAnsi"/>
            <w:color w:val="0000FF"/>
            <w:spacing w:val="-2"/>
            <w:sz w:val="20"/>
            <w:szCs w:val="20"/>
            <w:u w:val="single"/>
          </w:rPr>
          <w:t>https://doi.org/10.1016/j.molimm.2019.01.001</w:t>
        </w:r>
      </w:hyperlink>
      <w:r w:rsidRPr="00C10BBC">
        <w:rPr>
          <w:rFonts w:ascii="Calibri" w:eastAsia="Times New Roman" w:hAnsi="Calibri" w:cstheme="minorHAnsi"/>
          <w:spacing w:val="-2"/>
          <w:sz w:val="20"/>
          <w:szCs w:val="20"/>
        </w:rPr>
        <w:t xml:space="preserve"> </w:t>
      </w:r>
    </w:p>
    <w:p w14:paraId="01B2382F"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474"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30639475</w:t>
        </w:r>
      </w:hyperlink>
      <w:r w:rsidRPr="00C10BBC">
        <w:rPr>
          <w:rFonts w:ascii="Calibri" w:eastAsia="Times New Roman" w:hAnsi="Calibri" w:cstheme="minorHAnsi"/>
          <w:spacing w:val="-2"/>
          <w:sz w:val="20"/>
          <w:szCs w:val="20"/>
        </w:rPr>
        <w:t xml:space="preserve"> </w:t>
      </w:r>
    </w:p>
    <w:p w14:paraId="2D220970"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235.</w:t>
      </w:r>
      <w:r w:rsidRPr="00C10BBC">
        <w:rPr>
          <w:rFonts w:ascii="Calibri" w:eastAsia="Times New Roman" w:hAnsi="Calibri" w:cstheme="minorHAnsi"/>
          <w:spacing w:val="-2"/>
          <w:sz w:val="20"/>
          <w:szCs w:val="20"/>
        </w:rPr>
        <w:tab/>
      </w:r>
      <w:bookmarkStart w:id="473" w:name="b235"/>
      <w:bookmarkStart w:id="474" w:name="idm1162183424"/>
      <w:bookmarkEnd w:id="473"/>
      <w:bookmarkEnd w:id="474"/>
      <w:r w:rsidRPr="00C10BBC">
        <w:rPr>
          <w:rFonts w:ascii="Calibri" w:eastAsia="Times New Roman" w:hAnsi="Calibri" w:cstheme="minorHAnsi"/>
          <w:spacing w:val="-2"/>
          <w:sz w:val="20"/>
          <w:szCs w:val="20"/>
        </w:rPr>
        <w:t xml:space="preserve">Bamias G, Stamatelopoulos K, Zampeli E, Protogerou A, Sigala F, Papamichael C, Christopoulos P, Kitas GD, Sfikakis PP. Circulating levels of TNF-like cytokine 1A correlate with the progression of atheromatous lesions in patients with rheumatoid arthritis. Clin Immunol. 2013; 147:144-50. </w:t>
      </w:r>
    </w:p>
    <w:p w14:paraId="0DD0E788"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475" w:tgtFrame="_blank" w:history="1">
        <w:r w:rsidRPr="00C10BBC">
          <w:rPr>
            <w:rFonts w:ascii="Calibri" w:eastAsia="Times New Roman" w:hAnsi="Calibri" w:cstheme="minorHAnsi"/>
            <w:color w:val="0000FF"/>
            <w:spacing w:val="-2"/>
            <w:sz w:val="20"/>
            <w:szCs w:val="20"/>
            <w:u w:val="single"/>
          </w:rPr>
          <w:t>https://doi.org/10.1016/j.clim.2013.03.002</w:t>
        </w:r>
      </w:hyperlink>
      <w:r w:rsidRPr="00C10BBC">
        <w:rPr>
          <w:rFonts w:ascii="Calibri" w:eastAsia="Times New Roman" w:hAnsi="Calibri" w:cstheme="minorHAnsi"/>
          <w:spacing w:val="-2"/>
          <w:sz w:val="20"/>
          <w:szCs w:val="20"/>
        </w:rPr>
        <w:t xml:space="preserve"> </w:t>
      </w:r>
    </w:p>
    <w:p w14:paraId="224F0EB8"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476"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23598291</w:t>
        </w:r>
      </w:hyperlink>
      <w:r w:rsidRPr="00C10BBC">
        <w:rPr>
          <w:rFonts w:ascii="Calibri" w:eastAsia="Times New Roman" w:hAnsi="Calibri" w:cstheme="minorHAnsi"/>
          <w:spacing w:val="-2"/>
          <w:sz w:val="20"/>
          <w:szCs w:val="20"/>
        </w:rPr>
        <w:t xml:space="preserve"> </w:t>
      </w:r>
    </w:p>
    <w:p w14:paraId="4DF4792B"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236.</w:t>
      </w:r>
      <w:r w:rsidRPr="00C10BBC">
        <w:rPr>
          <w:rFonts w:ascii="Calibri" w:eastAsia="Times New Roman" w:hAnsi="Calibri" w:cstheme="minorHAnsi"/>
          <w:spacing w:val="-2"/>
          <w:sz w:val="20"/>
          <w:szCs w:val="20"/>
        </w:rPr>
        <w:tab/>
      </w:r>
      <w:bookmarkStart w:id="475" w:name="b236"/>
      <w:bookmarkStart w:id="476" w:name="idm1168071152"/>
      <w:bookmarkEnd w:id="475"/>
      <w:bookmarkEnd w:id="476"/>
      <w:r w:rsidRPr="00C10BBC">
        <w:rPr>
          <w:rFonts w:ascii="Calibri" w:eastAsia="Times New Roman" w:hAnsi="Calibri" w:cstheme="minorHAnsi"/>
          <w:spacing w:val="-2"/>
          <w:sz w:val="20"/>
          <w:szCs w:val="20"/>
        </w:rPr>
        <w:t xml:space="preserve">Sanjurjo L, Aran G, Tellez E, Amezaga N, Armengol C, Lopez D, Prats C, Sarrias MR. CD5L Promotes M2 Macrophage Polarization through Autophagy-Mediated Upregulation of ID3. Front Immunol. 2018; 9:480. </w:t>
      </w:r>
    </w:p>
    <w:p w14:paraId="36D935AC"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477" w:tgtFrame="_blank" w:history="1">
        <w:r w:rsidRPr="00C10BBC">
          <w:rPr>
            <w:rFonts w:ascii="Calibri" w:eastAsia="Times New Roman" w:hAnsi="Calibri" w:cstheme="minorHAnsi"/>
            <w:color w:val="0000FF"/>
            <w:spacing w:val="-2"/>
            <w:sz w:val="20"/>
            <w:szCs w:val="20"/>
            <w:u w:val="single"/>
          </w:rPr>
          <w:t>https://doi.org/10.3389/fimmu.2018.00480</w:t>
        </w:r>
      </w:hyperlink>
      <w:r w:rsidRPr="00C10BBC">
        <w:rPr>
          <w:rFonts w:ascii="Calibri" w:eastAsia="Times New Roman" w:hAnsi="Calibri" w:cstheme="minorHAnsi"/>
          <w:spacing w:val="-2"/>
          <w:sz w:val="20"/>
          <w:szCs w:val="20"/>
        </w:rPr>
        <w:t xml:space="preserve"> </w:t>
      </w:r>
    </w:p>
    <w:p w14:paraId="45ECD329"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478"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29593730</w:t>
        </w:r>
      </w:hyperlink>
      <w:r w:rsidRPr="00C10BBC">
        <w:rPr>
          <w:rFonts w:ascii="Calibri" w:eastAsia="Times New Roman" w:hAnsi="Calibri" w:cstheme="minorHAnsi"/>
          <w:spacing w:val="-2"/>
          <w:sz w:val="20"/>
          <w:szCs w:val="20"/>
        </w:rPr>
        <w:t xml:space="preserve"> </w:t>
      </w:r>
    </w:p>
    <w:p w14:paraId="296DB745"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237.</w:t>
      </w:r>
      <w:r w:rsidRPr="00C10BBC">
        <w:rPr>
          <w:rFonts w:ascii="Calibri" w:eastAsia="Times New Roman" w:hAnsi="Calibri" w:cstheme="minorHAnsi"/>
          <w:spacing w:val="-2"/>
          <w:sz w:val="20"/>
          <w:szCs w:val="20"/>
        </w:rPr>
        <w:tab/>
      </w:r>
      <w:bookmarkStart w:id="477" w:name="b237"/>
      <w:bookmarkStart w:id="478" w:name="idm1164836624"/>
      <w:bookmarkEnd w:id="477"/>
      <w:bookmarkEnd w:id="478"/>
      <w:r w:rsidRPr="00C10BBC">
        <w:rPr>
          <w:rFonts w:ascii="Calibri" w:eastAsia="Times New Roman" w:hAnsi="Calibri" w:cstheme="minorHAnsi"/>
          <w:spacing w:val="-2"/>
          <w:sz w:val="20"/>
          <w:szCs w:val="20"/>
        </w:rPr>
        <w:t xml:space="preserve">Goo YH, Son SH, Yechoor VK, Paul A. Transcriptional Profiling of Foam Cells Reveals Induction of Guanylate-Binding Proteins Following Western Diet Acceleration of Atherosclerosis in the Absence of Global Changes in Inflammation. J Am Heart Assoc. 2016; 5:e002663. </w:t>
      </w:r>
    </w:p>
    <w:p w14:paraId="711C90B4"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479" w:tgtFrame="_blank" w:history="1">
        <w:r w:rsidRPr="00C10BBC">
          <w:rPr>
            <w:rFonts w:ascii="Calibri" w:eastAsia="Times New Roman" w:hAnsi="Calibri" w:cstheme="minorHAnsi"/>
            <w:color w:val="0000FF"/>
            <w:spacing w:val="-2"/>
            <w:sz w:val="20"/>
            <w:szCs w:val="20"/>
            <w:u w:val="single"/>
          </w:rPr>
          <w:t>https://doi.org/10.1161/JAHA.115.002663</w:t>
        </w:r>
      </w:hyperlink>
      <w:r w:rsidRPr="00C10BBC">
        <w:rPr>
          <w:rFonts w:ascii="Calibri" w:eastAsia="Times New Roman" w:hAnsi="Calibri" w:cstheme="minorHAnsi"/>
          <w:spacing w:val="-2"/>
          <w:sz w:val="20"/>
          <w:szCs w:val="20"/>
        </w:rPr>
        <w:t xml:space="preserve"> </w:t>
      </w:r>
    </w:p>
    <w:p w14:paraId="6FE843E5"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480"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27091181</w:t>
        </w:r>
      </w:hyperlink>
      <w:r w:rsidRPr="00C10BBC">
        <w:rPr>
          <w:rFonts w:ascii="Calibri" w:eastAsia="Times New Roman" w:hAnsi="Calibri" w:cstheme="minorHAnsi"/>
          <w:spacing w:val="-2"/>
          <w:sz w:val="20"/>
          <w:szCs w:val="20"/>
        </w:rPr>
        <w:t xml:space="preserve"> </w:t>
      </w:r>
    </w:p>
    <w:p w14:paraId="3C81A7CB"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238.</w:t>
      </w:r>
      <w:r w:rsidRPr="00C10BBC">
        <w:rPr>
          <w:rFonts w:ascii="Calibri" w:eastAsia="Times New Roman" w:hAnsi="Calibri" w:cstheme="minorHAnsi"/>
          <w:spacing w:val="-2"/>
          <w:sz w:val="20"/>
          <w:szCs w:val="20"/>
        </w:rPr>
        <w:tab/>
      </w:r>
      <w:bookmarkStart w:id="479" w:name="b238"/>
      <w:bookmarkStart w:id="480" w:name="idm1164821344"/>
      <w:bookmarkEnd w:id="479"/>
      <w:bookmarkEnd w:id="480"/>
      <w:r w:rsidRPr="00C10BBC">
        <w:rPr>
          <w:rFonts w:ascii="Calibri" w:eastAsia="Times New Roman" w:hAnsi="Calibri" w:cstheme="minorHAnsi"/>
          <w:spacing w:val="-2"/>
          <w:sz w:val="20"/>
          <w:szCs w:val="20"/>
        </w:rPr>
        <w:t xml:space="preserve">Lu YJ, Jan YJ, Ko BS, Liang SM, Chen L, Wu CC, Chin CH, Kuo CC, Yet SF, Liou JY. Expression of Nik-related kinase in smooth muscle cells attenuates vascular inflammation and intimal hyperplasia. Aging (Albany NY). 2020; 12:7511-33. </w:t>
      </w:r>
    </w:p>
    <w:p w14:paraId="550EFD79"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481" w:tgtFrame="_blank" w:history="1">
        <w:r w:rsidRPr="00C10BBC">
          <w:rPr>
            <w:rFonts w:ascii="Calibri" w:eastAsia="Times New Roman" w:hAnsi="Calibri" w:cstheme="minorHAnsi"/>
            <w:color w:val="0000FF"/>
            <w:spacing w:val="-2"/>
            <w:sz w:val="20"/>
            <w:szCs w:val="20"/>
            <w:u w:val="single"/>
          </w:rPr>
          <w:t>https://doi.org/10.18632/aging.103104</w:t>
        </w:r>
      </w:hyperlink>
      <w:r w:rsidRPr="00C10BBC">
        <w:rPr>
          <w:rFonts w:ascii="Calibri" w:eastAsia="Times New Roman" w:hAnsi="Calibri" w:cstheme="minorHAnsi"/>
          <w:spacing w:val="-2"/>
          <w:sz w:val="20"/>
          <w:szCs w:val="20"/>
        </w:rPr>
        <w:t xml:space="preserve"> </w:t>
      </w:r>
    </w:p>
    <w:p w14:paraId="3B1EE5EC"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482"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32330120</w:t>
        </w:r>
      </w:hyperlink>
      <w:r w:rsidRPr="00C10BBC">
        <w:rPr>
          <w:rFonts w:ascii="Calibri" w:eastAsia="Times New Roman" w:hAnsi="Calibri" w:cstheme="minorHAnsi"/>
          <w:spacing w:val="-2"/>
          <w:sz w:val="20"/>
          <w:szCs w:val="20"/>
        </w:rPr>
        <w:t xml:space="preserve"> </w:t>
      </w:r>
    </w:p>
    <w:p w14:paraId="2B6755D8"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239.</w:t>
      </w:r>
      <w:r w:rsidRPr="00C10BBC">
        <w:rPr>
          <w:rFonts w:ascii="Calibri" w:eastAsia="Times New Roman" w:hAnsi="Calibri" w:cstheme="minorHAnsi"/>
          <w:spacing w:val="-2"/>
          <w:sz w:val="20"/>
          <w:szCs w:val="20"/>
        </w:rPr>
        <w:tab/>
      </w:r>
      <w:bookmarkStart w:id="481" w:name="b239"/>
      <w:bookmarkStart w:id="482" w:name="idm484676176"/>
      <w:bookmarkEnd w:id="481"/>
      <w:bookmarkEnd w:id="482"/>
      <w:r w:rsidRPr="00C10BBC">
        <w:rPr>
          <w:rFonts w:ascii="Calibri" w:eastAsia="Times New Roman" w:hAnsi="Calibri" w:cstheme="minorHAnsi"/>
          <w:spacing w:val="-2"/>
          <w:sz w:val="20"/>
          <w:szCs w:val="20"/>
        </w:rPr>
        <w:t xml:space="preserve">Gargalovic PS, Gharavi NM, Clark MJ, Pagnon J, Yang WP, He A, Truong A, Baruch-Oren T, Berliner JA, Kirchgessner TG, Lusis AJ. The unfolded protein response is an important regulator of inflammatory genes in endothelial cells. Arterioscler Thromb Vasc Biol. 2006; 26:2490-96. </w:t>
      </w:r>
    </w:p>
    <w:p w14:paraId="36550168"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483" w:tgtFrame="_blank" w:history="1">
        <w:r w:rsidRPr="00C10BBC">
          <w:rPr>
            <w:rFonts w:ascii="Calibri" w:eastAsia="Times New Roman" w:hAnsi="Calibri" w:cstheme="minorHAnsi"/>
            <w:color w:val="0000FF"/>
            <w:spacing w:val="-2"/>
            <w:sz w:val="20"/>
            <w:szCs w:val="20"/>
            <w:u w:val="single"/>
          </w:rPr>
          <w:t>https://doi.org/10.1161/01.ATV.0000242903.41158.a1</w:t>
        </w:r>
      </w:hyperlink>
      <w:r w:rsidRPr="00C10BBC">
        <w:rPr>
          <w:rFonts w:ascii="Calibri" w:eastAsia="Times New Roman" w:hAnsi="Calibri" w:cstheme="minorHAnsi"/>
          <w:spacing w:val="-2"/>
          <w:sz w:val="20"/>
          <w:szCs w:val="20"/>
        </w:rPr>
        <w:t xml:space="preserve"> </w:t>
      </w:r>
    </w:p>
    <w:p w14:paraId="7623C69F"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484"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16931790</w:t>
        </w:r>
      </w:hyperlink>
      <w:r w:rsidRPr="00C10BBC">
        <w:rPr>
          <w:rFonts w:ascii="Calibri" w:eastAsia="Times New Roman" w:hAnsi="Calibri" w:cstheme="minorHAnsi"/>
          <w:spacing w:val="-2"/>
          <w:sz w:val="20"/>
          <w:szCs w:val="20"/>
        </w:rPr>
        <w:t xml:space="preserve"> </w:t>
      </w:r>
    </w:p>
    <w:p w14:paraId="5587CBC7"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240.</w:t>
      </w:r>
      <w:r w:rsidRPr="00C10BBC">
        <w:rPr>
          <w:rFonts w:ascii="Calibri" w:eastAsia="Times New Roman" w:hAnsi="Calibri" w:cstheme="minorHAnsi"/>
          <w:spacing w:val="-2"/>
          <w:sz w:val="20"/>
          <w:szCs w:val="20"/>
        </w:rPr>
        <w:tab/>
      </w:r>
      <w:bookmarkStart w:id="483" w:name="b240"/>
      <w:bookmarkStart w:id="484" w:name="idm1162038688"/>
      <w:bookmarkEnd w:id="483"/>
      <w:bookmarkEnd w:id="484"/>
      <w:r w:rsidRPr="00C10BBC">
        <w:rPr>
          <w:rFonts w:ascii="Calibri" w:eastAsia="Times New Roman" w:hAnsi="Calibri" w:cstheme="minorHAnsi"/>
          <w:spacing w:val="-2"/>
          <w:sz w:val="20"/>
          <w:szCs w:val="20"/>
        </w:rPr>
        <w:t xml:space="preserve">Adachi H, Kondo T, Koh GY, Nagy A, Oike Y, Araki E. Angptl4 deficiency decreases serum triglyceride levels in low-density lipoprotein receptor knockout mice and streptozotocin-induced diabetic mice. Biochem Biophys Res Commun. 2011; 409:177-80. </w:t>
      </w:r>
    </w:p>
    <w:p w14:paraId="55A18176"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485" w:tgtFrame="_blank" w:history="1">
        <w:r w:rsidRPr="00C10BBC">
          <w:rPr>
            <w:rFonts w:ascii="Calibri" w:eastAsia="Times New Roman" w:hAnsi="Calibri" w:cstheme="minorHAnsi"/>
            <w:color w:val="0000FF"/>
            <w:spacing w:val="-2"/>
            <w:sz w:val="20"/>
            <w:szCs w:val="20"/>
            <w:u w:val="single"/>
          </w:rPr>
          <w:t>https://doi.org/10.1016/j.bbrc.2011.04.110</w:t>
        </w:r>
      </w:hyperlink>
      <w:r w:rsidRPr="00C10BBC">
        <w:rPr>
          <w:rFonts w:ascii="Calibri" w:eastAsia="Times New Roman" w:hAnsi="Calibri" w:cstheme="minorHAnsi"/>
          <w:spacing w:val="-2"/>
          <w:sz w:val="20"/>
          <w:szCs w:val="20"/>
        </w:rPr>
        <w:t xml:space="preserve"> </w:t>
      </w:r>
    </w:p>
    <w:p w14:paraId="2FF0627C"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486"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21549101</w:t>
        </w:r>
      </w:hyperlink>
      <w:r w:rsidRPr="00C10BBC">
        <w:rPr>
          <w:rFonts w:ascii="Calibri" w:eastAsia="Times New Roman" w:hAnsi="Calibri" w:cstheme="minorHAnsi"/>
          <w:spacing w:val="-2"/>
          <w:sz w:val="20"/>
          <w:szCs w:val="20"/>
        </w:rPr>
        <w:t xml:space="preserve"> </w:t>
      </w:r>
    </w:p>
    <w:p w14:paraId="33FF07FD"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241.</w:t>
      </w:r>
      <w:r w:rsidRPr="00C10BBC">
        <w:rPr>
          <w:rFonts w:ascii="Calibri" w:eastAsia="Times New Roman" w:hAnsi="Calibri" w:cstheme="minorHAnsi"/>
          <w:spacing w:val="-2"/>
          <w:sz w:val="20"/>
          <w:szCs w:val="20"/>
        </w:rPr>
        <w:tab/>
      </w:r>
      <w:bookmarkStart w:id="485" w:name="b241"/>
      <w:bookmarkStart w:id="486" w:name="idm996469488"/>
      <w:bookmarkEnd w:id="485"/>
      <w:bookmarkEnd w:id="486"/>
      <w:r w:rsidRPr="00C10BBC">
        <w:rPr>
          <w:rFonts w:ascii="Calibri" w:eastAsia="Times New Roman" w:hAnsi="Calibri" w:cstheme="minorHAnsi"/>
          <w:spacing w:val="-2"/>
          <w:sz w:val="20"/>
          <w:szCs w:val="20"/>
        </w:rPr>
        <w:t xml:space="preserve">Polfus LM, Smith JA, Shimmin LC, Bielak LF, Morrison AC, Kardia SL, Peyser PA, Hixson JE. Genome-wide association study of gene by smoking interactions in coronary artery calcification. PLoS One. 2013; 8:e74642. </w:t>
      </w:r>
    </w:p>
    <w:p w14:paraId="59E23FB0"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487" w:tgtFrame="_blank" w:history="1">
        <w:r w:rsidRPr="00C10BBC">
          <w:rPr>
            <w:rFonts w:ascii="Calibri" w:eastAsia="Times New Roman" w:hAnsi="Calibri" w:cstheme="minorHAnsi"/>
            <w:color w:val="0000FF"/>
            <w:spacing w:val="-2"/>
            <w:sz w:val="20"/>
            <w:szCs w:val="20"/>
            <w:u w:val="single"/>
          </w:rPr>
          <w:t>https://doi.org/10.1371/journal.pone.0074642</w:t>
        </w:r>
      </w:hyperlink>
      <w:r w:rsidRPr="00C10BBC">
        <w:rPr>
          <w:rFonts w:ascii="Calibri" w:eastAsia="Times New Roman" w:hAnsi="Calibri" w:cstheme="minorHAnsi"/>
          <w:spacing w:val="-2"/>
          <w:sz w:val="20"/>
          <w:szCs w:val="20"/>
        </w:rPr>
        <w:t xml:space="preserve"> </w:t>
      </w:r>
    </w:p>
    <w:p w14:paraId="57B2276A"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488"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24098343</w:t>
        </w:r>
      </w:hyperlink>
    </w:p>
    <w:p w14:paraId="689EFD99"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242.</w:t>
      </w:r>
      <w:r w:rsidRPr="00C10BBC">
        <w:rPr>
          <w:rFonts w:ascii="Calibri" w:eastAsia="Times New Roman" w:hAnsi="Calibri" w:cstheme="minorHAnsi"/>
          <w:spacing w:val="-2"/>
          <w:sz w:val="20"/>
          <w:szCs w:val="20"/>
        </w:rPr>
        <w:tab/>
      </w:r>
      <w:bookmarkStart w:id="487" w:name="b242"/>
      <w:bookmarkStart w:id="488" w:name="idm1172034480"/>
      <w:bookmarkEnd w:id="487"/>
      <w:bookmarkEnd w:id="488"/>
      <w:r w:rsidRPr="00C10BBC">
        <w:rPr>
          <w:rFonts w:ascii="Calibri" w:eastAsia="Times New Roman" w:hAnsi="Calibri" w:cstheme="minorHAnsi"/>
          <w:spacing w:val="-2"/>
          <w:sz w:val="20"/>
          <w:szCs w:val="20"/>
        </w:rPr>
        <w:t xml:space="preserve">Mallat Z, Corbaz A, Scoazec A, Besnard S, Leseche G, Chvatchko Y, Tedgui A. Expression of interleukin-18 in human atherosclerotic plaques and relation to plaque instability. Circulation. 2001; 104:1598-603. </w:t>
      </w:r>
    </w:p>
    <w:p w14:paraId="3673CC98"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489" w:tgtFrame="_blank" w:history="1">
        <w:r w:rsidRPr="00C10BBC">
          <w:rPr>
            <w:rFonts w:ascii="Calibri" w:eastAsia="Times New Roman" w:hAnsi="Calibri" w:cstheme="minorHAnsi"/>
            <w:color w:val="0000FF"/>
            <w:spacing w:val="-2"/>
            <w:sz w:val="20"/>
            <w:szCs w:val="20"/>
            <w:u w:val="single"/>
          </w:rPr>
          <w:t>https://doi.org/10.1161/hc3901.096721</w:t>
        </w:r>
      </w:hyperlink>
      <w:r w:rsidRPr="00C10BBC">
        <w:rPr>
          <w:rFonts w:ascii="Calibri" w:eastAsia="Times New Roman" w:hAnsi="Calibri" w:cstheme="minorHAnsi"/>
          <w:spacing w:val="-2"/>
          <w:sz w:val="20"/>
          <w:szCs w:val="20"/>
        </w:rPr>
        <w:t xml:space="preserve"> </w:t>
      </w:r>
    </w:p>
    <w:p w14:paraId="137CC048"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490"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11581135</w:t>
        </w:r>
      </w:hyperlink>
      <w:r w:rsidRPr="00C10BBC">
        <w:rPr>
          <w:rFonts w:ascii="Calibri" w:eastAsia="Times New Roman" w:hAnsi="Calibri" w:cstheme="minorHAnsi"/>
          <w:spacing w:val="-2"/>
          <w:sz w:val="20"/>
          <w:szCs w:val="20"/>
        </w:rPr>
        <w:t xml:space="preserve"> </w:t>
      </w:r>
    </w:p>
    <w:p w14:paraId="33E95490"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243.</w:t>
      </w:r>
      <w:r w:rsidRPr="00C10BBC">
        <w:rPr>
          <w:rFonts w:ascii="Calibri" w:eastAsia="Times New Roman" w:hAnsi="Calibri" w:cstheme="minorHAnsi"/>
          <w:spacing w:val="-2"/>
          <w:sz w:val="20"/>
          <w:szCs w:val="20"/>
        </w:rPr>
        <w:tab/>
      </w:r>
      <w:bookmarkStart w:id="489" w:name="b243"/>
      <w:bookmarkStart w:id="490" w:name="idm1137149520"/>
      <w:bookmarkEnd w:id="489"/>
      <w:bookmarkEnd w:id="490"/>
      <w:r w:rsidRPr="00C10BBC">
        <w:rPr>
          <w:rFonts w:ascii="Calibri" w:eastAsia="Times New Roman" w:hAnsi="Calibri" w:cstheme="minorHAnsi"/>
          <w:spacing w:val="-2"/>
          <w:sz w:val="20"/>
          <w:szCs w:val="20"/>
        </w:rPr>
        <w:t xml:space="preserve">Dong J, Song C, Zhang L, Feng X, Feng R, Lu Q, Zhao Z, Bao J, Zhou J, Jing Z. Identified key genes related to carotid atheroma plaque from gene expression chip. Artif Cells Nanomed Biotechnol. 2017; 45:1-6. </w:t>
      </w:r>
    </w:p>
    <w:p w14:paraId="195DD9F4"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491" w:tgtFrame="_blank" w:history="1">
        <w:r w:rsidRPr="00C10BBC">
          <w:rPr>
            <w:rFonts w:ascii="Calibri" w:eastAsia="Times New Roman" w:hAnsi="Calibri" w:cstheme="minorHAnsi"/>
            <w:color w:val="0000FF"/>
            <w:spacing w:val="-2"/>
            <w:sz w:val="20"/>
            <w:szCs w:val="20"/>
            <w:u w:val="single"/>
          </w:rPr>
          <w:t>https://doi.org/10.1080/21691401.2016.1216858</w:t>
        </w:r>
      </w:hyperlink>
      <w:r w:rsidRPr="00C10BBC">
        <w:rPr>
          <w:rFonts w:ascii="Calibri" w:eastAsia="Times New Roman" w:hAnsi="Calibri" w:cstheme="minorHAnsi"/>
          <w:spacing w:val="-2"/>
          <w:sz w:val="20"/>
          <w:szCs w:val="20"/>
        </w:rPr>
        <w:t xml:space="preserve"> </w:t>
      </w:r>
    </w:p>
    <w:p w14:paraId="407F1D9D"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492"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27684644</w:t>
        </w:r>
      </w:hyperlink>
      <w:r w:rsidRPr="00C10BBC">
        <w:rPr>
          <w:rFonts w:ascii="Calibri" w:eastAsia="Times New Roman" w:hAnsi="Calibri" w:cstheme="minorHAnsi"/>
          <w:spacing w:val="-2"/>
          <w:sz w:val="20"/>
          <w:szCs w:val="20"/>
        </w:rPr>
        <w:t xml:space="preserve"> </w:t>
      </w:r>
    </w:p>
    <w:p w14:paraId="679FDDCF"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244.</w:t>
      </w:r>
      <w:r w:rsidRPr="00C10BBC">
        <w:rPr>
          <w:rFonts w:ascii="Calibri" w:eastAsia="Times New Roman" w:hAnsi="Calibri" w:cstheme="minorHAnsi"/>
          <w:spacing w:val="-2"/>
          <w:sz w:val="20"/>
          <w:szCs w:val="20"/>
        </w:rPr>
        <w:tab/>
      </w:r>
      <w:bookmarkStart w:id="491" w:name="b244"/>
      <w:bookmarkStart w:id="492" w:name="idm1156075056"/>
      <w:bookmarkEnd w:id="491"/>
      <w:bookmarkEnd w:id="492"/>
      <w:r w:rsidRPr="00C10BBC">
        <w:rPr>
          <w:rFonts w:ascii="Calibri" w:eastAsia="Times New Roman" w:hAnsi="Calibri" w:cstheme="minorHAnsi"/>
          <w:spacing w:val="-2"/>
          <w:sz w:val="20"/>
          <w:szCs w:val="20"/>
        </w:rPr>
        <w:t xml:space="preserve">Zhao C, Ikeda S, Arai T, Naka-Mieno M, Sato N, Muramatsu M, Sawabe M. Association of the RYR3 gene polymorphisms with atherosclerosis in elderly Japanese population. BMC Cardiovasc Disord. 2014; 14:6. </w:t>
      </w:r>
    </w:p>
    <w:p w14:paraId="7B0D3CDD"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493" w:tgtFrame="_blank" w:history="1">
        <w:r w:rsidRPr="00C10BBC">
          <w:rPr>
            <w:rFonts w:ascii="Calibri" w:eastAsia="Times New Roman" w:hAnsi="Calibri" w:cstheme="minorHAnsi"/>
            <w:color w:val="0000FF"/>
            <w:spacing w:val="-2"/>
            <w:sz w:val="20"/>
            <w:szCs w:val="20"/>
            <w:u w:val="single"/>
          </w:rPr>
          <w:t>https://doi.org/10.1186/1471-2261-14-6</w:t>
        </w:r>
      </w:hyperlink>
      <w:r w:rsidRPr="00C10BBC">
        <w:rPr>
          <w:rFonts w:ascii="Calibri" w:eastAsia="Times New Roman" w:hAnsi="Calibri" w:cstheme="minorHAnsi"/>
          <w:spacing w:val="-2"/>
          <w:sz w:val="20"/>
          <w:szCs w:val="20"/>
        </w:rPr>
        <w:t xml:space="preserve"> </w:t>
      </w:r>
    </w:p>
    <w:p w14:paraId="45E4F55A"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494"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24423397</w:t>
        </w:r>
      </w:hyperlink>
      <w:r w:rsidRPr="00C10BBC">
        <w:rPr>
          <w:rFonts w:ascii="Calibri" w:eastAsia="Times New Roman" w:hAnsi="Calibri" w:cstheme="minorHAnsi"/>
          <w:spacing w:val="-2"/>
          <w:sz w:val="20"/>
          <w:szCs w:val="20"/>
        </w:rPr>
        <w:t xml:space="preserve"> </w:t>
      </w:r>
    </w:p>
    <w:p w14:paraId="7BA55C54"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245.</w:t>
      </w:r>
      <w:r w:rsidRPr="00C10BBC">
        <w:rPr>
          <w:rFonts w:ascii="Calibri" w:eastAsia="Times New Roman" w:hAnsi="Calibri" w:cstheme="minorHAnsi"/>
          <w:spacing w:val="-2"/>
          <w:sz w:val="20"/>
          <w:szCs w:val="20"/>
        </w:rPr>
        <w:tab/>
      </w:r>
      <w:bookmarkStart w:id="493" w:name="b245"/>
      <w:bookmarkStart w:id="494" w:name="idm1158748144"/>
      <w:bookmarkEnd w:id="493"/>
      <w:bookmarkEnd w:id="494"/>
      <w:r w:rsidRPr="00C10BBC">
        <w:rPr>
          <w:rFonts w:ascii="Calibri" w:eastAsia="Times New Roman" w:hAnsi="Calibri" w:cstheme="minorHAnsi"/>
          <w:spacing w:val="-2"/>
          <w:sz w:val="20"/>
          <w:szCs w:val="20"/>
        </w:rPr>
        <w:t xml:space="preserve">Krivospitskaya O, Elmabsout AA, Sundman E, Soderstrom LA, Ovchinnikova O, Gidlof AC, Scherbak N, Norata GD, Samnegard A, Torma H, Abdel-Halim SM, Jansson JH, Eriksson P, et al. A CYP26B1 polymorphism enhances retinoic acid catabolism and may aggravate atherosclerosis. Mol Med. 2012; 18:712-18. </w:t>
      </w:r>
    </w:p>
    <w:p w14:paraId="11D3EC2B"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495" w:tgtFrame="_blank" w:history="1">
        <w:r w:rsidRPr="00C10BBC">
          <w:rPr>
            <w:rFonts w:ascii="Calibri" w:eastAsia="Times New Roman" w:hAnsi="Calibri" w:cstheme="minorHAnsi"/>
            <w:color w:val="0000FF"/>
            <w:spacing w:val="-2"/>
            <w:sz w:val="20"/>
            <w:szCs w:val="20"/>
            <w:u w:val="single"/>
          </w:rPr>
          <w:t>https://doi.org/10.2119/molmed.2012.00094</w:t>
        </w:r>
      </w:hyperlink>
      <w:r w:rsidRPr="00C10BBC">
        <w:rPr>
          <w:rFonts w:ascii="Calibri" w:eastAsia="Times New Roman" w:hAnsi="Calibri" w:cstheme="minorHAnsi"/>
          <w:spacing w:val="-2"/>
          <w:sz w:val="20"/>
          <w:szCs w:val="20"/>
        </w:rPr>
        <w:t xml:space="preserve"> </w:t>
      </w:r>
    </w:p>
    <w:p w14:paraId="0A17E572"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496"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22415012</w:t>
        </w:r>
      </w:hyperlink>
      <w:r w:rsidRPr="00C10BBC">
        <w:rPr>
          <w:rFonts w:ascii="Calibri" w:eastAsia="Times New Roman" w:hAnsi="Calibri" w:cstheme="minorHAnsi"/>
          <w:spacing w:val="-2"/>
          <w:sz w:val="20"/>
          <w:szCs w:val="20"/>
        </w:rPr>
        <w:t xml:space="preserve"> </w:t>
      </w:r>
    </w:p>
    <w:p w14:paraId="51CA0641"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eastAsia="Times New Roman" w:hAnsi="Calibri" w:cstheme="minorHAnsi"/>
          <w:spacing w:val="-2"/>
          <w:sz w:val="20"/>
          <w:szCs w:val="20"/>
        </w:rPr>
        <w:t>246.</w:t>
      </w:r>
      <w:r w:rsidRPr="00C10BBC">
        <w:rPr>
          <w:rFonts w:ascii="Calibri" w:eastAsia="Times New Roman" w:hAnsi="Calibri" w:cstheme="minorHAnsi"/>
          <w:spacing w:val="-2"/>
          <w:sz w:val="20"/>
          <w:szCs w:val="20"/>
        </w:rPr>
        <w:tab/>
      </w:r>
      <w:bookmarkStart w:id="495" w:name="b246"/>
      <w:bookmarkStart w:id="496" w:name="idm1141775440"/>
      <w:bookmarkEnd w:id="495"/>
      <w:bookmarkEnd w:id="496"/>
      <w:r w:rsidRPr="00C10BBC">
        <w:rPr>
          <w:rFonts w:ascii="Calibri" w:eastAsia="Times New Roman" w:hAnsi="Calibri" w:cstheme="minorHAnsi"/>
          <w:spacing w:val="-2"/>
          <w:sz w:val="20"/>
          <w:szCs w:val="20"/>
        </w:rPr>
        <w:t>Ruan ZB, Fu XL, Li W, Ye J, Wang RZ, Zhu L. Effect of notch1,2,3 genes silicing on NF-kappaB signaling pathway of macrophages in patients with atherosclerosis. Biomed Pharmacother. 2016; 84:666-673.</w:t>
      </w:r>
      <w:r w:rsidRPr="00C10BBC">
        <w:rPr>
          <w:rFonts w:ascii="Calibri" w:eastAsia="Times New Roman" w:hAnsi="Calibri" w:cstheme="minorHAnsi"/>
          <w:spacing w:val="-2"/>
          <w:sz w:val="20"/>
          <w:szCs w:val="20"/>
          <w:u w:val="single"/>
        </w:rPr>
        <w:t xml:space="preserve"> https://doi.org: 10.1016/j.biopha.2016.09.078</w:t>
      </w:r>
      <w:r w:rsidRPr="00C10BBC">
        <w:rPr>
          <w:rFonts w:ascii="Calibri" w:eastAsia="Times New Roman" w:hAnsi="Calibri" w:cstheme="minorHAnsi"/>
          <w:spacing w:val="-2"/>
          <w:sz w:val="20"/>
          <w:szCs w:val="20"/>
        </w:rPr>
        <w:t xml:space="preserve"> PMID:</w:t>
      </w:r>
      <w:r w:rsidRPr="00C10BBC">
        <w:rPr>
          <w:rFonts w:ascii="Calibri" w:eastAsia="Times New Roman" w:hAnsi="Calibri" w:cstheme="minorHAnsi"/>
          <w:spacing w:val="-2"/>
          <w:sz w:val="20"/>
          <w:szCs w:val="20"/>
          <w:u w:val="single"/>
        </w:rPr>
        <w:t>27697639</w:t>
      </w:r>
    </w:p>
    <w:p w14:paraId="4E5EBC29"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247.</w:t>
      </w:r>
      <w:r w:rsidRPr="00C10BBC">
        <w:rPr>
          <w:rFonts w:ascii="Calibri" w:eastAsia="Times New Roman" w:hAnsi="Calibri" w:cstheme="minorHAnsi"/>
          <w:spacing w:val="-2"/>
          <w:sz w:val="20"/>
          <w:szCs w:val="20"/>
        </w:rPr>
        <w:tab/>
      </w:r>
      <w:bookmarkStart w:id="497" w:name="b247"/>
      <w:bookmarkStart w:id="498" w:name="idm1141763808"/>
      <w:bookmarkEnd w:id="497"/>
      <w:bookmarkEnd w:id="498"/>
      <w:r w:rsidRPr="00C10BBC">
        <w:rPr>
          <w:rFonts w:ascii="Calibri" w:eastAsia="Times New Roman" w:hAnsi="Calibri" w:cstheme="minorHAnsi"/>
          <w:spacing w:val="-2"/>
          <w:sz w:val="20"/>
          <w:szCs w:val="20"/>
        </w:rPr>
        <w:t xml:space="preserve">Kumar P, Raghavan S, Shanmugam G, Shanmugam N. Ligation of RAGE with ligand S100B attenuates ABCA1 expression in monocytes. Metabolism. 2013; 62:1149-58. </w:t>
      </w:r>
    </w:p>
    <w:p w14:paraId="236554DA"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497" w:tgtFrame="_blank" w:history="1">
        <w:r w:rsidRPr="00C10BBC">
          <w:rPr>
            <w:rFonts w:ascii="Calibri" w:eastAsia="Times New Roman" w:hAnsi="Calibri" w:cstheme="minorHAnsi"/>
            <w:color w:val="0000FF"/>
            <w:spacing w:val="-2"/>
            <w:sz w:val="20"/>
            <w:szCs w:val="20"/>
            <w:u w:val="single"/>
          </w:rPr>
          <w:t>https://doi.org/10.1016/j.metabol.2013.02.006</w:t>
        </w:r>
      </w:hyperlink>
      <w:r w:rsidRPr="00C10BBC">
        <w:rPr>
          <w:rFonts w:ascii="Calibri" w:eastAsia="Times New Roman" w:hAnsi="Calibri" w:cstheme="minorHAnsi"/>
          <w:spacing w:val="-2"/>
          <w:sz w:val="20"/>
          <w:szCs w:val="20"/>
        </w:rPr>
        <w:t xml:space="preserve"> </w:t>
      </w:r>
    </w:p>
    <w:p w14:paraId="0174EE84"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498"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23523156</w:t>
        </w:r>
      </w:hyperlink>
      <w:r w:rsidRPr="00C10BBC">
        <w:rPr>
          <w:rFonts w:ascii="Calibri" w:eastAsia="Times New Roman" w:hAnsi="Calibri" w:cstheme="minorHAnsi"/>
          <w:spacing w:val="-2"/>
          <w:sz w:val="20"/>
          <w:szCs w:val="20"/>
        </w:rPr>
        <w:t xml:space="preserve"> </w:t>
      </w:r>
    </w:p>
    <w:p w14:paraId="7DEEDDB8"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248.</w:t>
      </w:r>
      <w:r w:rsidRPr="00C10BBC">
        <w:rPr>
          <w:rFonts w:ascii="Calibri" w:eastAsia="Times New Roman" w:hAnsi="Calibri" w:cstheme="minorHAnsi"/>
          <w:spacing w:val="-2"/>
          <w:sz w:val="20"/>
          <w:szCs w:val="20"/>
        </w:rPr>
        <w:tab/>
      </w:r>
      <w:bookmarkStart w:id="499" w:name="b248"/>
      <w:bookmarkStart w:id="500" w:name="idm1168500752"/>
      <w:bookmarkEnd w:id="499"/>
      <w:bookmarkEnd w:id="500"/>
      <w:r w:rsidRPr="00C10BBC">
        <w:rPr>
          <w:rFonts w:ascii="Calibri" w:eastAsia="Times New Roman" w:hAnsi="Calibri" w:cstheme="minorHAnsi"/>
          <w:spacing w:val="-2"/>
          <w:sz w:val="20"/>
          <w:szCs w:val="20"/>
        </w:rPr>
        <w:t xml:space="preserve">Yoon S, Kuivaniemi H, Gatalica Z, Olson JM, Buttice G, Ye S, Norris BA, Malcom GT, Strong JP, Tromp G. MMP13 promoter polymorphism is associated with atherosclerosis in the abdominal aorta of young black males. Matrix biology : journal of the International Society for Matrix Biol. 2002;21:487-498. </w:t>
      </w:r>
    </w:p>
    <w:p w14:paraId="4FBCDCA5"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499" w:history="1">
        <w:r w:rsidRPr="00F6140E">
          <w:rPr>
            <w:rStyle w:val="Hyperlink"/>
            <w:rFonts w:ascii="Calibri" w:eastAsia="Times New Roman" w:hAnsi="Calibri" w:cstheme="minorHAnsi"/>
            <w:spacing w:val="-2"/>
            <w:sz w:val="20"/>
            <w:szCs w:val="20"/>
          </w:rPr>
          <w:t>https://doi.org/10.1016/S0945-053X(02)00053-7</w:t>
        </w:r>
      </w:hyperlink>
      <w:r w:rsidRPr="00C10BBC">
        <w:rPr>
          <w:rFonts w:ascii="Calibri" w:eastAsia="Times New Roman" w:hAnsi="Calibri" w:cstheme="minorHAnsi"/>
          <w:spacing w:val="-2"/>
          <w:sz w:val="20"/>
          <w:szCs w:val="20"/>
        </w:rPr>
        <w:t xml:space="preserve"> PMID:</w:t>
      </w:r>
      <w:hyperlink r:id="rId500" w:history="1">
        <w:r w:rsidRPr="009E6105">
          <w:rPr>
            <w:rStyle w:val="Hyperlink"/>
            <w:rFonts w:ascii="Calibri" w:eastAsia="Times New Roman" w:hAnsi="Calibri" w:cstheme="minorHAnsi"/>
            <w:spacing w:val="-2"/>
            <w:sz w:val="20"/>
            <w:szCs w:val="20"/>
          </w:rPr>
          <w:t>12392760</w:t>
        </w:r>
      </w:hyperlink>
    </w:p>
    <w:p w14:paraId="1B699477"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249.</w:t>
      </w:r>
      <w:r w:rsidRPr="00C10BBC">
        <w:rPr>
          <w:rFonts w:ascii="Calibri" w:eastAsia="Times New Roman" w:hAnsi="Calibri" w:cstheme="minorHAnsi"/>
          <w:spacing w:val="-2"/>
          <w:sz w:val="20"/>
          <w:szCs w:val="20"/>
        </w:rPr>
        <w:tab/>
      </w:r>
      <w:bookmarkStart w:id="501" w:name="b249"/>
      <w:bookmarkStart w:id="502" w:name="idm1003038048"/>
      <w:bookmarkEnd w:id="501"/>
      <w:bookmarkEnd w:id="502"/>
      <w:r w:rsidRPr="00C10BBC">
        <w:rPr>
          <w:rFonts w:ascii="Calibri" w:eastAsia="Times New Roman" w:hAnsi="Calibri" w:cstheme="minorHAnsi"/>
          <w:spacing w:val="-2"/>
          <w:sz w:val="20"/>
          <w:szCs w:val="20"/>
        </w:rPr>
        <w:t xml:space="preserve">Liao J, Xie Y, Lin Q, Yang X, An X, Xia Y, Du J, Wang F, Li HH. Immunoproteasome subunit ?5i regulates diet-induced atherosclerosis through altering MERTK-mediated efferocytosis in Apoe knockout mice. J Pathol. 2020; 250:275-87. </w:t>
      </w:r>
    </w:p>
    <w:p w14:paraId="3C7149A2"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501" w:tgtFrame="_blank" w:history="1">
        <w:r w:rsidRPr="00C10BBC">
          <w:rPr>
            <w:rFonts w:ascii="Calibri" w:eastAsia="Times New Roman" w:hAnsi="Calibri" w:cstheme="minorHAnsi"/>
            <w:color w:val="0000FF"/>
            <w:spacing w:val="-2"/>
            <w:sz w:val="20"/>
            <w:szCs w:val="20"/>
            <w:u w:val="single"/>
          </w:rPr>
          <w:t>https://doi.org/10.1002/path.5368</w:t>
        </w:r>
      </w:hyperlink>
      <w:r w:rsidRPr="00C10BBC">
        <w:rPr>
          <w:rFonts w:ascii="Calibri" w:eastAsia="Times New Roman" w:hAnsi="Calibri" w:cstheme="minorHAnsi"/>
          <w:spacing w:val="-2"/>
          <w:sz w:val="20"/>
          <w:szCs w:val="20"/>
        </w:rPr>
        <w:t xml:space="preserve"> </w:t>
      </w:r>
    </w:p>
    <w:p w14:paraId="6122B2BA"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502"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31758542</w:t>
        </w:r>
      </w:hyperlink>
      <w:r w:rsidRPr="00C10BBC">
        <w:rPr>
          <w:rFonts w:ascii="Calibri" w:eastAsia="Times New Roman" w:hAnsi="Calibri" w:cstheme="minorHAnsi"/>
          <w:spacing w:val="-2"/>
          <w:sz w:val="20"/>
          <w:szCs w:val="20"/>
        </w:rPr>
        <w:t xml:space="preserve"> </w:t>
      </w:r>
    </w:p>
    <w:p w14:paraId="0B2F7279"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250.</w:t>
      </w:r>
      <w:r w:rsidRPr="00C10BBC">
        <w:rPr>
          <w:rFonts w:ascii="Calibri" w:eastAsia="Times New Roman" w:hAnsi="Calibri" w:cstheme="minorHAnsi"/>
          <w:spacing w:val="-2"/>
          <w:sz w:val="20"/>
          <w:szCs w:val="20"/>
        </w:rPr>
        <w:tab/>
      </w:r>
      <w:bookmarkStart w:id="503" w:name="b250"/>
      <w:bookmarkStart w:id="504" w:name="idm1173045328"/>
      <w:bookmarkEnd w:id="503"/>
      <w:bookmarkEnd w:id="504"/>
      <w:r w:rsidRPr="00C10BBC">
        <w:rPr>
          <w:rFonts w:ascii="Calibri" w:eastAsia="Times New Roman" w:hAnsi="Calibri" w:cstheme="minorHAnsi"/>
          <w:spacing w:val="-2"/>
          <w:sz w:val="20"/>
          <w:szCs w:val="20"/>
        </w:rPr>
        <w:t xml:space="preserve">Wagsater D, Bjork H, Zhu C, Bjorkegren J, Valen G, Hamsten A, Eriksson P. ADAMTS-4 and -8 are inflammatory regulated enzymes expressed in macrophage-rich areas of human atherosclerotic plaques. Atherosclerosis. 2008; 196:514-22. </w:t>
      </w:r>
    </w:p>
    <w:p w14:paraId="36474AD3"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503" w:tgtFrame="_blank" w:history="1">
        <w:r w:rsidRPr="00C10BBC">
          <w:rPr>
            <w:rFonts w:ascii="Calibri" w:eastAsia="Times New Roman" w:hAnsi="Calibri" w:cstheme="minorHAnsi"/>
            <w:color w:val="0000FF"/>
            <w:spacing w:val="-2"/>
            <w:sz w:val="20"/>
            <w:szCs w:val="20"/>
            <w:u w:val="single"/>
          </w:rPr>
          <w:t>https://doi.org/10.1016/j.atherosclerosis.2007.05.018</w:t>
        </w:r>
      </w:hyperlink>
      <w:r w:rsidRPr="00C10BBC">
        <w:rPr>
          <w:rFonts w:ascii="Calibri" w:eastAsia="Times New Roman" w:hAnsi="Calibri" w:cstheme="minorHAnsi"/>
          <w:spacing w:val="-2"/>
          <w:sz w:val="20"/>
          <w:szCs w:val="20"/>
        </w:rPr>
        <w:t xml:space="preserve"> </w:t>
      </w:r>
    </w:p>
    <w:p w14:paraId="680E4356"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504"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17606262</w:t>
        </w:r>
      </w:hyperlink>
      <w:r w:rsidRPr="00C10BBC">
        <w:rPr>
          <w:rFonts w:ascii="Calibri" w:eastAsia="Times New Roman" w:hAnsi="Calibri" w:cstheme="minorHAnsi"/>
          <w:spacing w:val="-2"/>
          <w:sz w:val="20"/>
          <w:szCs w:val="20"/>
        </w:rPr>
        <w:t xml:space="preserve"> </w:t>
      </w:r>
    </w:p>
    <w:p w14:paraId="063A2D69"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251.</w:t>
      </w:r>
      <w:r w:rsidRPr="00C10BBC">
        <w:rPr>
          <w:rFonts w:ascii="Calibri" w:eastAsia="Times New Roman" w:hAnsi="Calibri" w:cstheme="minorHAnsi"/>
          <w:spacing w:val="-2"/>
          <w:sz w:val="20"/>
          <w:szCs w:val="20"/>
        </w:rPr>
        <w:tab/>
      </w:r>
      <w:bookmarkStart w:id="505" w:name="b251"/>
      <w:bookmarkStart w:id="506" w:name="idm1170301344"/>
      <w:bookmarkEnd w:id="505"/>
      <w:bookmarkEnd w:id="506"/>
      <w:r w:rsidRPr="00C10BBC">
        <w:rPr>
          <w:rFonts w:ascii="Calibri" w:eastAsia="Times New Roman" w:hAnsi="Calibri" w:cstheme="minorHAnsi"/>
          <w:spacing w:val="-2"/>
          <w:sz w:val="20"/>
          <w:szCs w:val="20"/>
        </w:rPr>
        <w:t xml:space="preserve">Guo J, Liang W, Li J, Long J. Knockdown of FSTL1 inhibits oxLDL-induced inflammation responses through the TLR4/MyD88/NF-?B and MAPK pathway. Biochem Biophys Res Commun. 2016; 478:1528-33. </w:t>
      </w:r>
    </w:p>
    <w:p w14:paraId="00ECCF98"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505" w:tgtFrame="_blank" w:history="1">
        <w:r w:rsidRPr="00C10BBC">
          <w:rPr>
            <w:rFonts w:ascii="Calibri" w:eastAsia="Times New Roman" w:hAnsi="Calibri" w:cstheme="minorHAnsi"/>
            <w:color w:val="0000FF"/>
            <w:spacing w:val="-2"/>
            <w:sz w:val="20"/>
            <w:szCs w:val="20"/>
            <w:u w:val="single"/>
          </w:rPr>
          <w:t>https://doi.org/10.1016/j.bbrc.2016.08.138</w:t>
        </w:r>
      </w:hyperlink>
      <w:r w:rsidRPr="00C10BBC">
        <w:rPr>
          <w:rFonts w:ascii="Calibri" w:eastAsia="Times New Roman" w:hAnsi="Calibri" w:cstheme="minorHAnsi"/>
          <w:spacing w:val="-2"/>
          <w:sz w:val="20"/>
          <w:szCs w:val="20"/>
        </w:rPr>
        <w:t xml:space="preserve"> </w:t>
      </w:r>
    </w:p>
    <w:p w14:paraId="17E4A169"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506"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27569284</w:t>
        </w:r>
      </w:hyperlink>
      <w:r w:rsidRPr="00C10BBC">
        <w:rPr>
          <w:rFonts w:ascii="Calibri" w:eastAsia="Times New Roman" w:hAnsi="Calibri" w:cstheme="minorHAnsi"/>
          <w:spacing w:val="-2"/>
          <w:sz w:val="20"/>
          <w:szCs w:val="20"/>
        </w:rPr>
        <w:t xml:space="preserve"> </w:t>
      </w:r>
    </w:p>
    <w:p w14:paraId="3910EC8C"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252.</w:t>
      </w:r>
      <w:r w:rsidRPr="00C10BBC">
        <w:rPr>
          <w:rFonts w:ascii="Calibri" w:eastAsia="Times New Roman" w:hAnsi="Calibri" w:cstheme="minorHAnsi"/>
          <w:spacing w:val="-2"/>
          <w:sz w:val="20"/>
          <w:szCs w:val="20"/>
        </w:rPr>
        <w:tab/>
      </w:r>
      <w:bookmarkStart w:id="507" w:name="b252"/>
      <w:bookmarkStart w:id="508" w:name="idm1153641552"/>
      <w:bookmarkEnd w:id="507"/>
      <w:bookmarkEnd w:id="508"/>
      <w:r w:rsidRPr="00C10BBC">
        <w:rPr>
          <w:rFonts w:ascii="Calibri" w:eastAsia="Times New Roman" w:hAnsi="Calibri" w:cstheme="minorHAnsi"/>
          <w:spacing w:val="-2"/>
          <w:sz w:val="20"/>
          <w:szCs w:val="20"/>
        </w:rPr>
        <w:t xml:space="preserve">Manthey HD, Cochain C, Barnsteiner S, Karshovska E, Pelisek J, Koch M, Chaudhari SM, Busch M, Eckstein HH, Weber C, Koenen RR, Zernecke A. CCR6 selectively promotes monocyte mediated inflammation and atherogenesis in mice. Thromb Haemost. 2013; 110:1267-77. </w:t>
      </w:r>
    </w:p>
    <w:p w14:paraId="594F8D10"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507" w:tgtFrame="_blank" w:history="1">
        <w:r w:rsidRPr="00C10BBC">
          <w:rPr>
            <w:rFonts w:ascii="Calibri" w:eastAsia="Times New Roman" w:hAnsi="Calibri" w:cstheme="minorHAnsi"/>
            <w:color w:val="0000FF"/>
            <w:spacing w:val="-2"/>
            <w:sz w:val="20"/>
            <w:szCs w:val="20"/>
            <w:u w:val="single"/>
          </w:rPr>
          <w:t>https://doi.org/10.1160/TH13-01-0017</w:t>
        </w:r>
      </w:hyperlink>
      <w:r w:rsidRPr="00C10BBC">
        <w:rPr>
          <w:rFonts w:ascii="Calibri" w:eastAsia="Times New Roman" w:hAnsi="Calibri" w:cstheme="minorHAnsi"/>
          <w:spacing w:val="-2"/>
          <w:sz w:val="20"/>
          <w:szCs w:val="20"/>
        </w:rPr>
        <w:t xml:space="preserve"> </w:t>
      </w:r>
    </w:p>
    <w:p w14:paraId="5BE38B02"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508"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24114205</w:t>
        </w:r>
      </w:hyperlink>
      <w:r w:rsidRPr="00C10BBC">
        <w:rPr>
          <w:rFonts w:ascii="Calibri" w:eastAsia="Times New Roman" w:hAnsi="Calibri" w:cstheme="minorHAnsi"/>
          <w:spacing w:val="-2"/>
          <w:sz w:val="20"/>
          <w:szCs w:val="20"/>
        </w:rPr>
        <w:t xml:space="preserve"> </w:t>
      </w:r>
    </w:p>
    <w:p w14:paraId="4358B0A8"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253.</w:t>
      </w:r>
      <w:r w:rsidRPr="00C10BBC">
        <w:rPr>
          <w:rFonts w:ascii="Calibri" w:eastAsia="Times New Roman" w:hAnsi="Calibri" w:cstheme="minorHAnsi"/>
          <w:spacing w:val="-2"/>
          <w:sz w:val="20"/>
          <w:szCs w:val="20"/>
        </w:rPr>
        <w:tab/>
      </w:r>
      <w:bookmarkStart w:id="509" w:name="b253"/>
      <w:bookmarkStart w:id="510" w:name="idm1165764640"/>
      <w:bookmarkEnd w:id="509"/>
      <w:bookmarkEnd w:id="510"/>
      <w:r w:rsidRPr="00C10BBC">
        <w:rPr>
          <w:rFonts w:ascii="Calibri" w:eastAsia="Times New Roman" w:hAnsi="Calibri" w:cstheme="minorHAnsi"/>
          <w:spacing w:val="-2"/>
          <w:sz w:val="20"/>
          <w:szCs w:val="20"/>
        </w:rPr>
        <w:t xml:space="preserve">Wan W, Lim JK, Lionakis MS, Rivollier A, McDermott DH, Kelsall BL, Farber JM, Murphy PM. Genetic deletion of chemokine receptor Ccr6 decreases atherogenesis in ApoE-deficient mice. Circ Res. 2011; 109:374-81. </w:t>
      </w:r>
    </w:p>
    <w:p w14:paraId="3C7DEA35"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509" w:tgtFrame="_blank" w:history="1">
        <w:r w:rsidRPr="00C10BBC">
          <w:rPr>
            <w:rFonts w:ascii="Calibri" w:eastAsia="Times New Roman" w:hAnsi="Calibri" w:cstheme="minorHAnsi"/>
            <w:color w:val="0000FF"/>
            <w:spacing w:val="-2"/>
            <w:sz w:val="20"/>
            <w:szCs w:val="20"/>
            <w:u w:val="single"/>
          </w:rPr>
          <w:t>https://doi.org/10.1161/CIRCRESAHA.111.242578</w:t>
        </w:r>
      </w:hyperlink>
      <w:r w:rsidRPr="00C10BBC">
        <w:rPr>
          <w:rFonts w:ascii="Calibri" w:eastAsia="Times New Roman" w:hAnsi="Calibri" w:cstheme="minorHAnsi"/>
          <w:spacing w:val="-2"/>
          <w:sz w:val="20"/>
          <w:szCs w:val="20"/>
        </w:rPr>
        <w:t xml:space="preserve"> </w:t>
      </w:r>
    </w:p>
    <w:p w14:paraId="458ED08A"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510"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21680896</w:t>
        </w:r>
      </w:hyperlink>
      <w:r w:rsidRPr="00C10BBC">
        <w:rPr>
          <w:rFonts w:ascii="Calibri" w:eastAsia="Times New Roman" w:hAnsi="Calibri" w:cstheme="minorHAnsi"/>
          <w:spacing w:val="-2"/>
          <w:sz w:val="20"/>
          <w:szCs w:val="20"/>
        </w:rPr>
        <w:t xml:space="preserve"> </w:t>
      </w:r>
    </w:p>
    <w:p w14:paraId="12E31D72"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254.</w:t>
      </w:r>
      <w:r w:rsidRPr="00C10BBC">
        <w:rPr>
          <w:rFonts w:ascii="Calibri" w:eastAsia="Times New Roman" w:hAnsi="Calibri" w:cstheme="minorHAnsi"/>
          <w:spacing w:val="-2"/>
          <w:sz w:val="20"/>
          <w:szCs w:val="20"/>
        </w:rPr>
        <w:tab/>
      </w:r>
      <w:bookmarkStart w:id="511" w:name="b254"/>
      <w:bookmarkStart w:id="512" w:name="idm1141404640"/>
      <w:bookmarkEnd w:id="511"/>
      <w:bookmarkEnd w:id="512"/>
      <w:r w:rsidRPr="00C10BBC">
        <w:rPr>
          <w:rFonts w:ascii="Calibri" w:eastAsia="Times New Roman" w:hAnsi="Calibri" w:cstheme="minorHAnsi"/>
          <w:spacing w:val="-2"/>
          <w:sz w:val="20"/>
          <w:szCs w:val="20"/>
        </w:rPr>
        <w:t xml:space="preserve">Liu L, Zeng P, Yang X, Duan Y, Zhang W, Ma C, Zhang X, Yang S, Li X, Yang J, Liang Y, Han H, Zhu Y, et al. Inhibition of Vascular Calcification. Arterioscler Thromb Vasc Biol. 2018; 38:2382-95. </w:t>
      </w:r>
    </w:p>
    <w:p w14:paraId="2DED53B1"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511" w:tgtFrame="_blank" w:history="1">
        <w:r w:rsidRPr="00C10BBC">
          <w:rPr>
            <w:rFonts w:ascii="Calibri" w:eastAsia="Times New Roman" w:hAnsi="Calibri" w:cstheme="minorHAnsi"/>
            <w:color w:val="0000FF"/>
            <w:spacing w:val="-2"/>
            <w:sz w:val="20"/>
            <w:szCs w:val="20"/>
            <w:u w:val="single"/>
          </w:rPr>
          <w:t>https://doi.org/10.1161/ATVBAHA.118.311546</w:t>
        </w:r>
      </w:hyperlink>
      <w:r w:rsidRPr="00C10BBC">
        <w:rPr>
          <w:rFonts w:ascii="Calibri" w:eastAsia="Times New Roman" w:hAnsi="Calibri" w:cstheme="minorHAnsi"/>
          <w:spacing w:val="-2"/>
          <w:sz w:val="20"/>
          <w:szCs w:val="20"/>
        </w:rPr>
        <w:t xml:space="preserve"> </w:t>
      </w:r>
    </w:p>
    <w:p w14:paraId="04B06666"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512"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30354214</w:t>
        </w:r>
      </w:hyperlink>
      <w:r w:rsidRPr="00C10BBC">
        <w:rPr>
          <w:rFonts w:ascii="Calibri" w:eastAsia="Times New Roman" w:hAnsi="Calibri" w:cstheme="minorHAnsi"/>
          <w:spacing w:val="-2"/>
          <w:sz w:val="20"/>
          <w:szCs w:val="20"/>
        </w:rPr>
        <w:t xml:space="preserve"> </w:t>
      </w:r>
    </w:p>
    <w:p w14:paraId="7E551A43"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255.</w:t>
      </w:r>
      <w:r w:rsidRPr="00C10BBC">
        <w:rPr>
          <w:rFonts w:ascii="Calibri" w:eastAsia="Times New Roman" w:hAnsi="Calibri" w:cstheme="minorHAnsi"/>
          <w:spacing w:val="-2"/>
          <w:sz w:val="20"/>
          <w:szCs w:val="20"/>
        </w:rPr>
        <w:tab/>
      </w:r>
      <w:bookmarkStart w:id="513" w:name="b255"/>
      <w:bookmarkStart w:id="514" w:name="idm999207184"/>
      <w:bookmarkEnd w:id="513"/>
      <w:bookmarkEnd w:id="514"/>
      <w:r w:rsidRPr="00C10BBC">
        <w:rPr>
          <w:rFonts w:ascii="Calibri" w:eastAsia="Times New Roman" w:hAnsi="Calibri" w:cstheme="minorHAnsi"/>
          <w:spacing w:val="-2"/>
          <w:sz w:val="20"/>
          <w:szCs w:val="20"/>
        </w:rPr>
        <w:t xml:space="preserve">Salic K, Morrison MC, Verschuren L, Wielinga PY, Wu L, Kleemann R, Gjorstrup P, Kooistra T. Resolvin E1 attenuates atherosclerosis in absence of cholesterol-lowering effects and on top of atorvastatin. Atherosclerosis. 2016; 250:158-65. </w:t>
      </w:r>
    </w:p>
    <w:p w14:paraId="21DD79EC"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513" w:tgtFrame="_blank" w:history="1">
        <w:r w:rsidRPr="00C10BBC">
          <w:rPr>
            <w:rFonts w:ascii="Calibri" w:eastAsia="Times New Roman" w:hAnsi="Calibri" w:cstheme="minorHAnsi"/>
            <w:color w:val="0000FF"/>
            <w:spacing w:val="-2"/>
            <w:sz w:val="20"/>
            <w:szCs w:val="20"/>
            <w:u w:val="single"/>
          </w:rPr>
          <w:t>https://doi.org/10.1016/j.atherosclerosis.2016.05.001</w:t>
        </w:r>
      </w:hyperlink>
      <w:r w:rsidRPr="00C10BBC">
        <w:rPr>
          <w:rFonts w:ascii="Calibri" w:eastAsia="Times New Roman" w:hAnsi="Calibri" w:cstheme="minorHAnsi"/>
          <w:spacing w:val="-2"/>
          <w:sz w:val="20"/>
          <w:szCs w:val="20"/>
        </w:rPr>
        <w:t xml:space="preserve"> </w:t>
      </w:r>
    </w:p>
    <w:p w14:paraId="489B16B2"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514"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27236706</w:t>
        </w:r>
      </w:hyperlink>
      <w:r w:rsidRPr="00C10BBC">
        <w:rPr>
          <w:rFonts w:ascii="Calibri" w:eastAsia="Times New Roman" w:hAnsi="Calibri" w:cstheme="minorHAnsi"/>
          <w:spacing w:val="-2"/>
          <w:sz w:val="20"/>
          <w:szCs w:val="20"/>
        </w:rPr>
        <w:t xml:space="preserve"> </w:t>
      </w:r>
    </w:p>
    <w:p w14:paraId="00C27AD7"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256.</w:t>
      </w:r>
      <w:r w:rsidRPr="00C10BBC">
        <w:rPr>
          <w:rFonts w:ascii="Calibri" w:eastAsia="Times New Roman" w:hAnsi="Calibri" w:cstheme="minorHAnsi"/>
          <w:spacing w:val="-2"/>
          <w:sz w:val="20"/>
          <w:szCs w:val="20"/>
        </w:rPr>
        <w:tab/>
      </w:r>
      <w:bookmarkStart w:id="515" w:name="b256"/>
      <w:bookmarkStart w:id="516" w:name="idm1167771264"/>
      <w:bookmarkEnd w:id="515"/>
      <w:bookmarkEnd w:id="516"/>
      <w:r w:rsidRPr="00C10BBC">
        <w:rPr>
          <w:rFonts w:ascii="Calibri" w:eastAsia="Times New Roman" w:hAnsi="Calibri" w:cstheme="minorHAnsi"/>
          <w:spacing w:val="-2"/>
          <w:sz w:val="20"/>
          <w:szCs w:val="20"/>
        </w:rPr>
        <w:t xml:space="preserve">Molusky MM, Hsieh J, Lee SX, Ramakrishnan R, Tascau L, Haeusler RA, Accili D, Tall AR. Metformin and AMP Kinase Activation Increase Expression of the Sterol Transporters ABCG5/8 (ATP-Binding Cassette Transporter G5/G8) With Potential Antiatherogenic Consequences. Arterioscler Thromb Vasc Biol. 2018; 38:1493-503. </w:t>
      </w:r>
    </w:p>
    <w:p w14:paraId="3FEF4B38"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515" w:tgtFrame="_blank" w:history="1">
        <w:r w:rsidRPr="00C10BBC">
          <w:rPr>
            <w:rFonts w:ascii="Calibri" w:eastAsia="Times New Roman" w:hAnsi="Calibri" w:cstheme="minorHAnsi"/>
            <w:color w:val="0000FF"/>
            <w:spacing w:val="-2"/>
            <w:sz w:val="20"/>
            <w:szCs w:val="20"/>
            <w:u w:val="single"/>
          </w:rPr>
          <w:t>https://doi.org/10.1161/ATVBAHA.118.311212</w:t>
        </w:r>
      </w:hyperlink>
      <w:r w:rsidRPr="00C10BBC">
        <w:rPr>
          <w:rFonts w:ascii="Calibri" w:eastAsia="Times New Roman" w:hAnsi="Calibri" w:cstheme="minorHAnsi"/>
          <w:spacing w:val="-2"/>
          <w:sz w:val="20"/>
          <w:szCs w:val="20"/>
        </w:rPr>
        <w:t xml:space="preserve"> </w:t>
      </w:r>
    </w:p>
    <w:p w14:paraId="5A257743"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516"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29853564</w:t>
        </w:r>
      </w:hyperlink>
      <w:r w:rsidRPr="00C10BBC">
        <w:rPr>
          <w:rFonts w:ascii="Calibri" w:eastAsia="Times New Roman" w:hAnsi="Calibri" w:cstheme="minorHAnsi"/>
          <w:spacing w:val="-2"/>
          <w:sz w:val="20"/>
          <w:szCs w:val="20"/>
        </w:rPr>
        <w:t xml:space="preserve"> </w:t>
      </w:r>
    </w:p>
    <w:p w14:paraId="6A5D3B6D"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257.</w:t>
      </w:r>
      <w:r w:rsidRPr="00C10BBC">
        <w:rPr>
          <w:rFonts w:ascii="Calibri" w:eastAsia="Times New Roman" w:hAnsi="Calibri" w:cstheme="minorHAnsi"/>
          <w:spacing w:val="-2"/>
          <w:sz w:val="20"/>
          <w:szCs w:val="20"/>
        </w:rPr>
        <w:tab/>
      </w:r>
      <w:bookmarkStart w:id="517" w:name="b257"/>
      <w:bookmarkStart w:id="518" w:name="idm1158064544"/>
      <w:bookmarkEnd w:id="517"/>
      <w:bookmarkEnd w:id="518"/>
      <w:r w:rsidRPr="00C10BBC">
        <w:rPr>
          <w:rFonts w:ascii="Calibri" w:eastAsia="Times New Roman" w:hAnsi="Calibri" w:cstheme="minorHAnsi"/>
          <w:spacing w:val="-2"/>
          <w:sz w:val="20"/>
          <w:szCs w:val="20"/>
        </w:rPr>
        <w:t xml:space="preserve">Tsaousi A, Williams H, Lyon CA, Taylor V, Swain A, Johnson JL, George SJ. Wnt4/?-catenin signaling induces VSMC proliferation and is associated with intimal thickening. Circ Res. 2011; 108:427-36. </w:t>
      </w:r>
    </w:p>
    <w:p w14:paraId="15BDA8A1"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517" w:tgtFrame="_blank" w:history="1">
        <w:r w:rsidRPr="00C10BBC">
          <w:rPr>
            <w:rFonts w:ascii="Calibri" w:eastAsia="Times New Roman" w:hAnsi="Calibri" w:cstheme="minorHAnsi"/>
            <w:color w:val="0000FF"/>
            <w:spacing w:val="-2"/>
            <w:sz w:val="20"/>
            <w:szCs w:val="20"/>
            <w:u w:val="single"/>
          </w:rPr>
          <w:t>https://doi.org/10.1161/CIRCRESAHA.110.233999</w:t>
        </w:r>
      </w:hyperlink>
      <w:r w:rsidRPr="00C10BBC">
        <w:rPr>
          <w:rFonts w:ascii="Calibri" w:eastAsia="Times New Roman" w:hAnsi="Calibri" w:cstheme="minorHAnsi"/>
          <w:spacing w:val="-2"/>
          <w:sz w:val="20"/>
          <w:szCs w:val="20"/>
        </w:rPr>
        <w:t xml:space="preserve"> </w:t>
      </w:r>
    </w:p>
    <w:p w14:paraId="27FAEEC6"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518"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21193738</w:t>
        </w:r>
      </w:hyperlink>
      <w:r w:rsidRPr="00C10BBC">
        <w:rPr>
          <w:rFonts w:ascii="Calibri" w:eastAsia="Times New Roman" w:hAnsi="Calibri" w:cstheme="minorHAnsi"/>
          <w:spacing w:val="-2"/>
          <w:sz w:val="20"/>
          <w:szCs w:val="20"/>
        </w:rPr>
        <w:t xml:space="preserve"> </w:t>
      </w:r>
    </w:p>
    <w:p w14:paraId="60A6E3F1"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258.</w:t>
      </w:r>
      <w:r w:rsidRPr="00C10BBC">
        <w:rPr>
          <w:rFonts w:ascii="Calibri" w:eastAsia="Times New Roman" w:hAnsi="Calibri" w:cstheme="minorHAnsi"/>
          <w:spacing w:val="-2"/>
          <w:sz w:val="20"/>
          <w:szCs w:val="20"/>
        </w:rPr>
        <w:tab/>
      </w:r>
      <w:bookmarkStart w:id="519" w:name="b258"/>
      <w:bookmarkStart w:id="520" w:name="idm1161635392"/>
      <w:bookmarkEnd w:id="519"/>
      <w:bookmarkEnd w:id="520"/>
      <w:r w:rsidRPr="00C10BBC">
        <w:rPr>
          <w:rFonts w:ascii="Calibri" w:eastAsia="Times New Roman" w:hAnsi="Calibri" w:cstheme="minorHAnsi"/>
          <w:spacing w:val="-2"/>
          <w:sz w:val="20"/>
          <w:szCs w:val="20"/>
        </w:rPr>
        <w:t>Rajamoorthi A, Lee RG, Baldan A. Therapeutic silencing of FSP27 reduces the progression of atherosclerosis in Ldlr</w:t>
      </w:r>
      <w:r w:rsidRPr="00C10BBC">
        <w:rPr>
          <w:rFonts w:ascii="Calibri" w:eastAsia="Times New Roman" w:hAnsi="Calibri" w:cstheme="minorHAnsi"/>
          <w:spacing w:val="-2"/>
          <w:sz w:val="20"/>
          <w:szCs w:val="20"/>
          <w:vertAlign w:val="superscript"/>
        </w:rPr>
        <w:t>-/-</w:t>
      </w:r>
      <w:r w:rsidRPr="00C10BBC">
        <w:rPr>
          <w:rFonts w:ascii="Calibri" w:eastAsia="Times New Roman" w:hAnsi="Calibri" w:cstheme="minorHAnsi"/>
          <w:spacing w:val="-2"/>
          <w:sz w:val="20"/>
          <w:szCs w:val="20"/>
        </w:rPr>
        <w:t xml:space="preserve"> mice. Atherosclerosis. 2018; 275:43-49. </w:t>
      </w:r>
    </w:p>
    <w:p w14:paraId="7D836F5C"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519" w:tgtFrame="_blank" w:history="1">
        <w:r w:rsidRPr="00C10BBC">
          <w:rPr>
            <w:rFonts w:ascii="Calibri" w:eastAsia="Times New Roman" w:hAnsi="Calibri" w:cstheme="minorHAnsi"/>
            <w:color w:val="0000FF"/>
            <w:spacing w:val="-2"/>
            <w:sz w:val="20"/>
            <w:szCs w:val="20"/>
            <w:u w:val="single"/>
          </w:rPr>
          <w:t>https://doi.org/10.1016/j.atherosclerosis.2018.05.045</w:t>
        </w:r>
      </w:hyperlink>
      <w:r w:rsidRPr="00C10BBC">
        <w:rPr>
          <w:rFonts w:ascii="Calibri" w:eastAsia="Times New Roman" w:hAnsi="Calibri" w:cstheme="minorHAnsi"/>
          <w:spacing w:val="-2"/>
          <w:sz w:val="20"/>
          <w:szCs w:val="20"/>
        </w:rPr>
        <w:t xml:space="preserve"> </w:t>
      </w:r>
    </w:p>
    <w:p w14:paraId="36542252"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520"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29859472</w:t>
        </w:r>
      </w:hyperlink>
      <w:r w:rsidRPr="00C10BBC">
        <w:rPr>
          <w:rFonts w:ascii="Calibri" w:eastAsia="Times New Roman" w:hAnsi="Calibri" w:cstheme="minorHAnsi"/>
          <w:spacing w:val="-2"/>
          <w:sz w:val="20"/>
          <w:szCs w:val="20"/>
        </w:rPr>
        <w:t xml:space="preserve"> </w:t>
      </w:r>
    </w:p>
    <w:p w14:paraId="54B56E0B"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259.</w:t>
      </w:r>
      <w:r w:rsidRPr="00C10BBC">
        <w:rPr>
          <w:rFonts w:ascii="Calibri" w:eastAsia="Times New Roman" w:hAnsi="Calibri" w:cstheme="minorHAnsi"/>
          <w:spacing w:val="-2"/>
          <w:sz w:val="20"/>
          <w:szCs w:val="20"/>
        </w:rPr>
        <w:tab/>
      </w:r>
      <w:bookmarkStart w:id="521" w:name="b259"/>
      <w:bookmarkStart w:id="522" w:name="idm1168609616"/>
      <w:bookmarkEnd w:id="521"/>
      <w:bookmarkEnd w:id="522"/>
      <w:r w:rsidRPr="00C10BBC">
        <w:rPr>
          <w:rFonts w:ascii="Calibri" w:eastAsia="Times New Roman" w:hAnsi="Calibri" w:cstheme="minorHAnsi"/>
          <w:spacing w:val="-2"/>
          <w:sz w:val="20"/>
          <w:szCs w:val="20"/>
        </w:rPr>
        <w:t xml:space="preserve">Turner AW, Nikpay M, Silva A, Lau P, Martinuk A, Linseman TA, Soubeyrand S, McPherson R. Functional interaction between COL4A1/COL4A2 and SMAD3 risk loci for coronary artery disease. Atherosclerosis. 2015; 242:543-52. </w:t>
      </w:r>
    </w:p>
    <w:p w14:paraId="4F4B760F"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521" w:tgtFrame="_blank" w:history="1">
        <w:r w:rsidRPr="00C10BBC">
          <w:rPr>
            <w:rFonts w:ascii="Calibri" w:eastAsia="Times New Roman" w:hAnsi="Calibri" w:cstheme="minorHAnsi"/>
            <w:color w:val="0000FF"/>
            <w:spacing w:val="-2"/>
            <w:sz w:val="20"/>
            <w:szCs w:val="20"/>
            <w:u w:val="single"/>
          </w:rPr>
          <w:t>https://doi.org/10.1016/j.atherosclerosis.2015.08.008</w:t>
        </w:r>
      </w:hyperlink>
      <w:r w:rsidRPr="00C10BBC">
        <w:rPr>
          <w:rFonts w:ascii="Calibri" w:eastAsia="Times New Roman" w:hAnsi="Calibri" w:cstheme="minorHAnsi"/>
          <w:spacing w:val="-2"/>
          <w:sz w:val="20"/>
          <w:szCs w:val="20"/>
        </w:rPr>
        <w:t xml:space="preserve"> </w:t>
      </w:r>
    </w:p>
    <w:p w14:paraId="1CFD0407"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522"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26310581</w:t>
        </w:r>
      </w:hyperlink>
      <w:r w:rsidRPr="00C10BBC">
        <w:rPr>
          <w:rFonts w:ascii="Calibri" w:eastAsia="Times New Roman" w:hAnsi="Calibri" w:cstheme="minorHAnsi"/>
          <w:spacing w:val="-2"/>
          <w:sz w:val="20"/>
          <w:szCs w:val="20"/>
        </w:rPr>
        <w:t xml:space="preserve"> </w:t>
      </w:r>
    </w:p>
    <w:p w14:paraId="31904D92"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260.</w:t>
      </w:r>
      <w:r w:rsidRPr="00C10BBC">
        <w:rPr>
          <w:rFonts w:ascii="Calibri" w:eastAsia="Times New Roman" w:hAnsi="Calibri" w:cstheme="minorHAnsi"/>
          <w:spacing w:val="-2"/>
          <w:sz w:val="20"/>
          <w:szCs w:val="20"/>
        </w:rPr>
        <w:tab/>
      </w:r>
      <w:bookmarkStart w:id="523" w:name="b260"/>
      <w:bookmarkStart w:id="524" w:name="idm1142800016"/>
      <w:bookmarkEnd w:id="523"/>
      <w:bookmarkEnd w:id="524"/>
      <w:r w:rsidRPr="00C10BBC">
        <w:rPr>
          <w:rFonts w:ascii="Calibri" w:eastAsia="Times New Roman" w:hAnsi="Calibri" w:cstheme="minorHAnsi"/>
          <w:spacing w:val="-2"/>
          <w:sz w:val="20"/>
          <w:szCs w:val="20"/>
        </w:rPr>
        <w:t xml:space="preserve">Tousoulis D, Briasoulis A, Vogiatzi G, Valatsou A, Kourkouti P, Pantopoulou A, Papageorgiou N, Perrea D, Stefanadis C. Infusion of lin-/sca-1+ and endothelial progenitor cells improves proinflammatory and oxidative stress markers in atherosclerotic mice. Int J Cardiol. 2013; 167:1900-05. </w:t>
      </w:r>
    </w:p>
    <w:p w14:paraId="07FCA964"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523" w:tgtFrame="_blank" w:history="1">
        <w:r w:rsidRPr="00C10BBC">
          <w:rPr>
            <w:rFonts w:ascii="Calibri" w:eastAsia="Times New Roman" w:hAnsi="Calibri" w:cstheme="minorHAnsi"/>
            <w:color w:val="0000FF"/>
            <w:spacing w:val="-2"/>
            <w:sz w:val="20"/>
            <w:szCs w:val="20"/>
            <w:u w:val="single"/>
          </w:rPr>
          <w:t>https://doi.org/10.1016/j.ijcard.2012.04.148</w:t>
        </w:r>
      </w:hyperlink>
      <w:r w:rsidRPr="00C10BBC">
        <w:rPr>
          <w:rFonts w:ascii="Calibri" w:eastAsia="Times New Roman" w:hAnsi="Calibri" w:cstheme="minorHAnsi"/>
          <w:spacing w:val="-2"/>
          <w:sz w:val="20"/>
          <w:szCs w:val="20"/>
        </w:rPr>
        <w:t xml:space="preserve"> </w:t>
      </w:r>
    </w:p>
    <w:p w14:paraId="02FB2285"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524"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22622053</w:t>
        </w:r>
      </w:hyperlink>
      <w:r w:rsidRPr="00C10BBC">
        <w:rPr>
          <w:rFonts w:ascii="Calibri" w:eastAsia="Times New Roman" w:hAnsi="Calibri" w:cstheme="minorHAnsi"/>
          <w:spacing w:val="-2"/>
          <w:sz w:val="20"/>
          <w:szCs w:val="20"/>
        </w:rPr>
        <w:t xml:space="preserve"> </w:t>
      </w:r>
    </w:p>
    <w:p w14:paraId="7767FCD7"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261.</w:t>
      </w:r>
      <w:r w:rsidRPr="00C10BBC">
        <w:rPr>
          <w:rFonts w:ascii="Calibri" w:eastAsia="Times New Roman" w:hAnsi="Calibri" w:cstheme="minorHAnsi"/>
          <w:spacing w:val="-2"/>
          <w:sz w:val="20"/>
          <w:szCs w:val="20"/>
        </w:rPr>
        <w:tab/>
      </w:r>
      <w:bookmarkStart w:id="525" w:name="b261"/>
      <w:bookmarkStart w:id="526" w:name="idm1142481648"/>
      <w:bookmarkEnd w:id="525"/>
      <w:bookmarkEnd w:id="526"/>
      <w:r w:rsidRPr="00C10BBC">
        <w:rPr>
          <w:rFonts w:ascii="Calibri" w:eastAsia="Times New Roman" w:hAnsi="Calibri" w:cstheme="minorHAnsi"/>
          <w:spacing w:val="-2"/>
          <w:sz w:val="20"/>
          <w:szCs w:val="20"/>
        </w:rPr>
        <w:t xml:space="preserve">Kim JB, Zhao Q, Nguyen T, Pjanic M, Cheng P, Wirka R, Travisano S, Nagao M, Kundu R, Quertermous T. Environment-Sensing Aryl Hydrocarbon Receptor Inhibits the Chondrogenic Fate of Modulated Smooth Muscle Cells in Atherosclerotic Lesions. Circulation. 2020; 142:575-90. </w:t>
      </w:r>
    </w:p>
    <w:p w14:paraId="6B5BAA9B"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525" w:tgtFrame="_blank" w:history="1">
        <w:r w:rsidRPr="00C10BBC">
          <w:rPr>
            <w:rFonts w:ascii="Calibri" w:eastAsia="Times New Roman" w:hAnsi="Calibri" w:cstheme="minorHAnsi"/>
            <w:color w:val="0000FF"/>
            <w:spacing w:val="-2"/>
            <w:sz w:val="20"/>
            <w:szCs w:val="20"/>
            <w:u w:val="single"/>
          </w:rPr>
          <w:t>https://doi.org/10.1161/CIRCULATIONAHA.120.045981</w:t>
        </w:r>
      </w:hyperlink>
      <w:r w:rsidRPr="00C10BBC">
        <w:rPr>
          <w:rFonts w:ascii="Calibri" w:eastAsia="Times New Roman" w:hAnsi="Calibri" w:cstheme="minorHAnsi"/>
          <w:spacing w:val="-2"/>
          <w:sz w:val="20"/>
          <w:szCs w:val="20"/>
        </w:rPr>
        <w:t xml:space="preserve"> </w:t>
      </w:r>
    </w:p>
    <w:p w14:paraId="36ACFFA9"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526"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32441123</w:t>
        </w:r>
      </w:hyperlink>
    </w:p>
    <w:p w14:paraId="25D8B9E8"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262.</w:t>
      </w:r>
      <w:r w:rsidRPr="00C10BBC">
        <w:rPr>
          <w:rFonts w:ascii="Calibri" w:eastAsia="Times New Roman" w:hAnsi="Calibri" w:cstheme="minorHAnsi"/>
          <w:spacing w:val="-2"/>
          <w:sz w:val="20"/>
          <w:szCs w:val="20"/>
        </w:rPr>
        <w:tab/>
      </w:r>
      <w:bookmarkStart w:id="527" w:name="b262"/>
      <w:bookmarkStart w:id="528" w:name="idm1142827200"/>
      <w:bookmarkEnd w:id="527"/>
      <w:bookmarkEnd w:id="528"/>
      <w:r w:rsidRPr="00C10BBC">
        <w:rPr>
          <w:rFonts w:ascii="Calibri" w:eastAsia="Times New Roman" w:hAnsi="Calibri" w:cstheme="minorHAnsi"/>
          <w:spacing w:val="-2"/>
          <w:sz w:val="20"/>
          <w:szCs w:val="20"/>
        </w:rPr>
        <w:t xml:space="preserve">Yang C, Lu M, Chen W, He Z, Hou X, Feng M, Zhang H, Bo T, Zhou X, Yu Y, Zhang H, Zhao M, Wang L, et al. Thyrotropin aggravates atherosclerosis by promoting macrophage inflammation in plaques. J Exp Med. 2019; 216:1182-98. </w:t>
      </w:r>
    </w:p>
    <w:p w14:paraId="0660C603"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527" w:tgtFrame="_blank" w:history="1">
        <w:r w:rsidRPr="00C10BBC">
          <w:rPr>
            <w:rFonts w:ascii="Calibri" w:eastAsia="Times New Roman" w:hAnsi="Calibri" w:cstheme="minorHAnsi"/>
            <w:color w:val="0000FF"/>
            <w:spacing w:val="-2"/>
            <w:sz w:val="20"/>
            <w:szCs w:val="20"/>
            <w:u w:val="single"/>
          </w:rPr>
          <w:t>https://doi.org/10.1084/jem.20181473</w:t>
        </w:r>
      </w:hyperlink>
      <w:r w:rsidRPr="00C10BBC">
        <w:rPr>
          <w:rFonts w:ascii="Calibri" w:eastAsia="Times New Roman" w:hAnsi="Calibri" w:cstheme="minorHAnsi"/>
          <w:spacing w:val="-2"/>
          <w:sz w:val="20"/>
          <w:szCs w:val="20"/>
        </w:rPr>
        <w:t xml:space="preserve"> </w:t>
      </w:r>
    </w:p>
    <w:p w14:paraId="49991491"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528"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30940720</w:t>
        </w:r>
      </w:hyperlink>
      <w:r w:rsidRPr="00C10BBC">
        <w:rPr>
          <w:rFonts w:ascii="Calibri" w:eastAsia="Times New Roman" w:hAnsi="Calibri" w:cstheme="minorHAnsi"/>
          <w:spacing w:val="-2"/>
          <w:sz w:val="20"/>
          <w:szCs w:val="20"/>
        </w:rPr>
        <w:t xml:space="preserve"> </w:t>
      </w:r>
    </w:p>
    <w:p w14:paraId="10B6D05A"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263.</w:t>
      </w:r>
      <w:r w:rsidRPr="00C10BBC">
        <w:rPr>
          <w:rFonts w:ascii="Calibri" w:eastAsia="Times New Roman" w:hAnsi="Calibri" w:cstheme="minorHAnsi"/>
          <w:spacing w:val="-2"/>
          <w:sz w:val="20"/>
          <w:szCs w:val="20"/>
        </w:rPr>
        <w:tab/>
      </w:r>
      <w:bookmarkStart w:id="529" w:name="b263"/>
      <w:bookmarkStart w:id="530" w:name="idm1007515168"/>
      <w:bookmarkEnd w:id="529"/>
      <w:bookmarkEnd w:id="530"/>
      <w:r w:rsidRPr="00C10BBC">
        <w:rPr>
          <w:rFonts w:ascii="Calibri" w:eastAsia="Times New Roman" w:hAnsi="Calibri" w:cstheme="minorHAnsi"/>
          <w:spacing w:val="-2"/>
          <w:sz w:val="20"/>
          <w:szCs w:val="20"/>
        </w:rPr>
        <w:t xml:space="preserve">Kong X, Fang M, Li P, Fang F, Xu Y. HDAC2 deacetylates class II transactivator and suppresses its activity in macrophages and smooth muscle cells. J Mol Cell Cardiol. 2009; 46:292-99. </w:t>
      </w:r>
    </w:p>
    <w:p w14:paraId="5063BFB9"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529" w:tgtFrame="_blank" w:history="1">
        <w:r w:rsidRPr="00C10BBC">
          <w:rPr>
            <w:rFonts w:ascii="Calibri" w:eastAsia="Times New Roman" w:hAnsi="Calibri" w:cstheme="minorHAnsi"/>
            <w:color w:val="0000FF"/>
            <w:spacing w:val="-2"/>
            <w:sz w:val="20"/>
            <w:szCs w:val="20"/>
            <w:u w:val="single"/>
          </w:rPr>
          <w:t>https://doi.org/10.1016/j.yjmcc.2008.10.023</w:t>
        </w:r>
      </w:hyperlink>
      <w:r w:rsidRPr="00C10BBC">
        <w:rPr>
          <w:rFonts w:ascii="Calibri" w:eastAsia="Times New Roman" w:hAnsi="Calibri" w:cstheme="minorHAnsi"/>
          <w:spacing w:val="-2"/>
          <w:sz w:val="20"/>
          <w:szCs w:val="20"/>
        </w:rPr>
        <w:t xml:space="preserve"> </w:t>
      </w:r>
    </w:p>
    <w:p w14:paraId="1DBEEA6F"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530"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19041327</w:t>
        </w:r>
      </w:hyperlink>
      <w:r w:rsidRPr="00C10BBC">
        <w:rPr>
          <w:rFonts w:ascii="Calibri" w:eastAsia="Times New Roman" w:hAnsi="Calibri" w:cstheme="minorHAnsi"/>
          <w:spacing w:val="-2"/>
          <w:sz w:val="20"/>
          <w:szCs w:val="20"/>
        </w:rPr>
        <w:t xml:space="preserve"> </w:t>
      </w:r>
    </w:p>
    <w:p w14:paraId="40347014"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264.</w:t>
      </w:r>
      <w:r w:rsidRPr="00C10BBC">
        <w:rPr>
          <w:rFonts w:ascii="Calibri" w:eastAsia="Times New Roman" w:hAnsi="Calibri" w:cstheme="minorHAnsi"/>
          <w:spacing w:val="-2"/>
          <w:sz w:val="20"/>
          <w:szCs w:val="20"/>
        </w:rPr>
        <w:tab/>
      </w:r>
      <w:bookmarkStart w:id="531" w:name="b264"/>
      <w:bookmarkStart w:id="532" w:name="idm972809008"/>
      <w:bookmarkEnd w:id="531"/>
      <w:bookmarkEnd w:id="532"/>
      <w:r w:rsidRPr="00C10BBC">
        <w:rPr>
          <w:rFonts w:ascii="Calibri" w:eastAsia="Times New Roman" w:hAnsi="Calibri" w:cstheme="minorHAnsi"/>
          <w:spacing w:val="-2"/>
          <w:sz w:val="20"/>
          <w:szCs w:val="20"/>
        </w:rPr>
        <w:t xml:space="preserve">Wu H, Liu T, Hou H. Knockdown of LINC00657 inhibits ox-LDL-induced endothelial cell injury by regulating miR-30c-5p/Wnt7b/?-catenin. Mol Cell Biochem. 2020; 472:145-55. </w:t>
      </w:r>
    </w:p>
    <w:p w14:paraId="36BC7B3E"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531" w:tgtFrame="_blank" w:history="1">
        <w:r w:rsidRPr="00C10BBC">
          <w:rPr>
            <w:rFonts w:ascii="Calibri" w:eastAsia="Times New Roman" w:hAnsi="Calibri" w:cstheme="minorHAnsi"/>
            <w:color w:val="0000FF"/>
            <w:spacing w:val="-2"/>
            <w:sz w:val="20"/>
            <w:szCs w:val="20"/>
            <w:u w:val="single"/>
          </w:rPr>
          <w:t>https://doi.org/10.1007/s11010-020-03793-9</w:t>
        </w:r>
      </w:hyperlink>
      <w:r w:rsidRPr="00C10BBC">
        <w:rPr>
          <w:rFonts w:ascii="Calibri" w:eastAsia="Times New Roman" w:hAnsi="Calibri" w:cstheme="minorHAnsi"/>
          <w:spacing w:val="-2"/>
          <w:sz w:val="20"/>
          <w:szCs w:val="20"/>
        </w:rPr>
        <w:t xml:space="preserve"> </w:t>
      </w:r>
    </w:p>
    <w:p w14:paraId="77D0DA67"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532"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32577947</w:t>
        </w:r>
      </w:hyperlink>
      <w:r w:rsidRPr="00C10BBC">
        <w:rPr>
          <w:rFonts w:ascii="Calibri" w:eastAsia="Times New Roman" w:hAnsi="Calibri" w:cstheme="minorHAnsi"/>
          <w:spacing w:val="-2"/>
          <w:sz w:val="20"/>
          <w:szCs w:val="20"/>
        </w:rPr>
        <w:t xml:space="preserve"> </w:t>
      </w:r>
    </w:p>
    <w:p w14:paraId="22579C4D"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265.</w:t>
      </w:r>
      <w:r w:rsidRPr="00C10BBC">
        <w:rPr>
          <w:rFonts w:ascii="Calibri" w:eastAsia="Times New Roman" w:hAnsi="Calibri" w:cstheme="minorHAnsi"/>
          <w:spacing w:val="-2"/>
          <w:sz w:val="20"/>
          <w:szCs w:val="20"/>
        </w:rPr>
        <w:tab/>
      </w:r>
      <w:bookmarkStart w:id="533" w:name="b265"/>
      <w:bookmarkStart w:id="534" w:name="idm1170853088"/>
      <w:bookmarkEnd w:id="533"/>
      <w:bookmarkEnd w:id="534"/>
      <w:r w:rsidRPr="00C10BBC">
        <w:rPr>
          <w:rFonts w:ascii="Calibri" w:eastAsia="Times New Roman" w:hAnsi="Calibri" w:cstheme="minorHAnsi"/>
          <w:spacing w:val="-2"/>
          <w:sz w:val="20"/>
          <w:szCs w:val="20"/>
        </w:rPr>
        <w:t xml:space="preserve">Wang H, Liu D, Zhang H. Investigation of the Underlying Genes and Mechanism of Macrophage-Enriched Ruptured Atherosclerotic Plaques Using Bioinformatics Method. J Atheroscler Thromb. 2019; 26:636-58. </w:t>
      </w:r>
    </w:p>
    <w:p w14:paraId="16140B9E"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533" w:tgtFrame="_blank" w:history="1">
        <w:r w:rsidRPr="00C10BBC">
          <w:rPr>
            <w:rFonts w:ascii="Calibri" w:eastAsia="Times New Roman" w:hAnsi="Calibri" w:cstheme="minorHAnsi"/>
            <w:color w:val="0000FF"/>
            <w:spacing w:val="-2"/>
            <w:sz w:val="20"/>
            <w:szCs w:val="20"/>
            <w:u w:val="single"/>
          </w:rPr>
          <w:t>https://doi.org/10.5551/jat.45963</w:t>
        </w:r>
      </w:hyperlink>
      <w:r w:rsidRPr="00C10BBC">
        <w:rPr>
          <w:rFonts w:ascii="Calibri" w:eastAsia="Times New Roman" w:hAnsi="Calibri" w:cstheme="minorHAnsi"/>
          <w:spacing w:val="-2"/>
          <w:sz w:val="20"/>
          <w:szCs w:val="20"/>
        </w:rPr>
        <w:t xml:space="preserve"> </w:t>
      </w:r>
    </w:p>
    <w:p w14:paraId="1A0E777B"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534"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30643084</w:t>
        </w:r>
      </w:hyperlink>
      <w:r w:rsidRPr="00C10BBC">
        <w:rPr>
          <w:rFonts w:ascii="Calibri" w:eastAsia="Times New Roman" w:hAnsi="Calibri" w:cstheme="minorHAnsi"/>
          <w:spacing w:val="-2"/>
          <w:sz w:val="20"/>
          <w:szCs w:val="20"/>
        </w:rPr>
        <w:t xml:space="preserve"> </w:t>
      </w:r>
    </w:p>
    <w:p w14:paraId="380A5D4F"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266.</w:t>
      </w:r>
      <w:r w:rsidRPr="00C10BBC">
        <w:rPr>
          <w:rFonts w:ascii="Calibri" w:eastAsia="Times New Roman" w:hAnsi="Calibri" w:cstheme="minorHAnsi"/>
          <w:spacing w:val="-2"/>
          <w:sz w:val="20"/>
          <w:szCs w:val="20"/>
        </w:rPr>
        <w:tab/>
      </w:r>
      <w:bookmarkStart w:id="535" w:name="b266"/>
      <w:bookmarkStart w:id="536" w:name="idm1013155632"/>
      <w:bookmarkEnd w:id="535"/>
      <w:bookmarkEnd w:id="536"/>
      <w:r w:rsidRPr="00C10BBC">
        <w:rPr>
          <w:rFonts w:ascii="Calibri" w:eastAsia="Times New Roman" w:hAnsi="Calibri" w:cstheme="minorHAnsi"/>
          <w:spacing w:val="-2"/>
          <w:sz w:val="20"/>
          <w:szCs w:val="20"/>
        </w:rPr>
        <w:t xml:space="preserve">Zhang L, Wang F, Wang J, Wang Y, Fang Y. Intestinal fatty acid-binding protein mediates atherosclerotic progress through increasing intestinal inflammation and permeability. J Cell Mol Med. 2020; 24:5205-12. </w:t>
      </w:r>
    </w:p>
    <w:p w14:paraId="00AA7F50"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535" w:tgtFrame="_blank" w:history="1">
        <w:r w:rsidRPr="00C10BBC">
          <w:rPr>
            <w:rFonts w:ascii="Calibri" w:eastAsia="Times New Roman" w:hAnsi="Calibri" w:cstheme="minorHAnsi"/>
            <w:color w:val="0000FF"/>
            <w:spacing w:val="-2"/>
            <w:sz w:val="20"/>
            <w:szCs w:val="20"/>
            <w:u w:val="single"/>
          </w:rPr>
          <w:t>https://doi.org/10.1111/jcmm.15173</w:t>
        </w:r>
      </w:hyperlink>
      <w:r w:rsidRPr="00C10BBC">
        <w:rPr>
          <w:rFonts w:ascii="Calibri" w:eastAsia="Times New Roman" w:hAnsi="Calibri" w:cstheme="minorHAnsi"/>
          <w:spacing w:val="-2"/>
          <w:sz w:val="20"/>
          <w:szCs w:val="20"/>
        </w:rPr>
        <w:t xml:space="preserve"> </w:t>
      </w:r>
    </w:p>
    <w:p w14:paraId="27E2CAD9"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536"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32220004</w:t>
        </w:r>
      </w:hyperlink>
      <w:r w:rsidRPr="00C10BBC">
        <w:rPr>
          <w:rFonts w:ascii="Calibri" w:eastAsia="Times New Roman" w:hAnsi="Calibri" w:cstheme="minorHAnsi"/>
          <w:spacing w:val="-2"/>
          <w:sz w:val="20"/>
          <w:szCs w:val="20"/>
        </w:rPr>
        <w:t xml:space="preserve"> </w:t>
      </w:r>
    </w:p>
    <w:p w14:paraId="428CB5CF"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267.</w:t>
      </w:r>
      <w:r w:rsidRPr="00C10BBC">
        <w:rPr>
          <w:rFonts w:ascii="Calibri" w:eastAsia="Times New Roman" w:hAnsi="Calibri" w:cstheme="minorHAnsi"/>
          <w:spacing w:val="-2"/>
          <w:sz w:val="20"/>
          <w:szCs w:val="20"/>
        </w:rPr>
        <w:tab/>
      </w:r>
      <w:bookmarkStart w:id="537" w:name="b267"/>
      <w:bookmarkStart w:id="538" w:name="idm1013138592"/>
      <w:bookmarkEnd w:id="537"/>
      <w:bookmarkEnd w:id="538"/>
      <w:r w:rsidRPr="00C10BBC">
        <w:rPr>
          <w:rFonts w:ascii="Calibri" w:eastAsia="Times New Roman" w:hAnsi="Calibri" w:cstheme="minorHAnsi"/>
          <w:spacing w:val="-2"/>
          <w:sz w:val="20"/>
          <w:szCs w:val="20"/>
        </w:rPr>
        <w:t xml:space="preserve">Zhou Z, Subramanian P, Sevilmis G, Globke B, Soehnlein O, Karshovska E, Megens R, Heyll K, Chun J, Saulnier-Blache JS, Reinholz M, van Zandvoort M, Weber C, Schober A. Lipoprotein-derived lysophosphatidic acid promotes atherosclerosis by releasing CXCL1 from the endothelium. Cell Metab. 2011; 13:592-600. </w:t>
      </w:r>
    </w:p>
    <w:p w14:paraId="2B279669"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537" w:tgtFrame="_blank" w:history="1">
        <w:r w:rsidRPr="00C10BBC">
          <w:rPr>
            <w:rFonts w:ascii="Calibri" w:eastAsia="Times New Roman" w:hAnsi="Calibri" w:cstheme="minorHAnsi"/>
            <w:color w:val="0000FF"/>
            <w:spacing w:val="-2"/>
            <w:sz w:val="20"/>
            <w:szCs w:val="20"/>
            <w:u w:val="single"/>
          </w:rPr>
          <w:t>https://doi.org/10.1016/j.cmet.2011.02.016</w:t>
        </w:r>
      </w:hyperlink>
      <w:r w:rsidRPr="00C10BBC">
        <w:rPr>
          <w:rFonts w:ascii="Calibri" w:eastAsia="Times New Roman" w:hAnsi="Calibri" w:cstheme="minorHAnsi"/>
          <w:spacing w:val="-2"/>
          <w:sz w:val="20"/>
          <w:szCs w:val="20"/>
        </w:rPr>
        <w:t xml:space="preserve"> </w:t>
      </w:r>
    </w:p>
    <w:p w14:paraId="28C211F6"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538"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21531341</w:t>
        </w:r>
      </w:hyperlink>
      <w:r w:rsidRPr="00C10BBC">
        <w:rPr>
          <w:rFonts w:ascii="Calibri" w:eastAsia="Times New Roman" w:hAnsi="Calibri" w:cstheme="minorHAnsi"/>
          <w:spacing w:val="-2"/>
          <w:sz w:val="20"/>
          <w:szCs w:val="20"/>
        </w:rPr>
        <w:t xml:space="preserve"> </w:t>
      </w:r>
    </w:p>
    <w:p w14:paraId="3837DFB6"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268.</w:t>
      </w:r>
      <w:r w:rsidRPr="00C10BBC">
        <w:rPr>
          <w:rFonts w:ascii="Calibri" w:eastAsia="Times New Roman" w:hAnsi="Calibri" w:cstheme="minorHAnsi"/>
          <w:spacing w:val="-2"/>
          <w:sz w:val="20"/>
          <w:szCs w:val="20"/>
        </w:rPr>
        <w:tab/>
      </w:r>
      <w:bookmarkStart w:id="539" w:name="b268"/>
      <w:bookmarkStart w:id="540" w:name="idm1011590192"/>
      <w:bookmarkEnd w:id="539"/>
      <w:bookmarkEnd w:id="540"/>
      <w:r w:rsidRPr="00C10BBC">
        <w:rPr>
          <w:rFonts w:ascii="Calibri" w:eastAsia="Times New Roman" w:hAnsi="Calibri" w:cstheme="minorHAnsi"/>
          <w:spacing w:val="-2"/>
          <w:sz w:val="20"/>
          <w:szCs w:val="20"/>
        </w:rPr>
        <w:t xml:space="preserve">Yoshino Y, Kohara K, Abe M, Ochi S, Mori Y, Yamashita K, Igase M, Tabara Y, Mori T, Miki T, Ueno S. Missense variants of the alanine: glyoxylate aminotransferase 2 gene correlated with carotid atherosclerosis in the Japanese population. J Biol Regul Homeost Agents. 2014; 28:605-14. </w:t>
      </w:r>
    </w:p>
    <w:p w14:paraId="528E1EAF"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539"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25620171</w:t>
        </w:r>
      </w:hyperlink>
      <w:r w:rsidRPr="00C10BBC">
        <w:rPr>
          <w:rFonts w:ascii="Calibri" w:eastAsia="Times New Roman" w:hAnsi="Calibri" w:cstheme="minorHAnsi"/>
          <w:spacing w:val="-2"/>
          <w:sz w:val="20"/>
          <w:szCs w:val="20"/>
        </w:rPr>
        <w:t xml:space="preserve"> </w:t>
      </w:r>
    </w:p>
    <w:p w14:paraId="313C0A0C"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eastAsia="Times New Roman" w:hAnsi="Calibri" w:cstheme="minorHAnsi"/>
          <w:spacing w:val="-2"/>
          <w:sz w:val="20"/>
          <w:szCs w:val="20"/>
        </w:rPr>
        <w:t>269.</w:t>
      </w:r>
      <w:r w:rsidRPr="00C10BBC">
        <w:rPr>
          <w:rFonts w:ascii="Calibri" w:eastAsia="Times New Roman" w:hAnsi="Calibri" w:cstheme="minorHAnsi"/>
          <w:spacing w:val="-2"/>
          <w:sz w:val="20"/>
          <w:szCs w:val="20"/>
        </w:rPr>
        <w:tab/>
      </w:r>
      <w:bookmarkStart w:id="541" w:name="b269"/>
      <w:bookmarkStart w:id="542" w:name="idm1000717040"/>
      <w:bookmarkEnd w:id="541"/>
      <w:bookmarkEnd w:id="542"/>
      <w:r w:rsidRPr="00C10BBC">
        <w:rPr>
          <w:rFonts w:ascii="Calibri" w:eastAsia="Times New Roman" w:hAnsi="Calibri" w:cstheme="minorHAnsi"/>
          <w:spacing w:val="-2"/>
          <w:sz w:val="20"/>
          <w:szCs w:val="20"/>
        </w:rPr>
        <w:t xml:space="preserve">Lee SM, Nguyen D, Hu Z, Abbott GW. Kcne2 deletion promotes atherosclerosis and diet-dependent sudden death. J Mol Cell Cardiol. 2015; 87:148-51. </w:t>
      </w:r>
    </w:p>
    <w:p w14:paraId="675A4C78" w14:textId="77777777" w:rsidR="00615745" w:rsidRPr="00C10BBC" w:rsidRDefault="00615745" w:rsidP="00615745">
      <w:pPr>
        <w:ind w:left="529" w:hangingChars="270" w:hanging="529"/>
        <w:rPr>
          <w:rFonts w:ascii="Calibri" w:hAnsi="Calibri" w:cstheme="minorHAnsi"/>
          <w:spacing w:val="-2"/>
          <w:sz w:val="20"/>
          <w:szCs w:val="20"/>
        </w:rPr>
      </w:pPr>
      <w:r w:rsidRPr="00C10BBC">
        <w:rPr>
          <w:rFonts w:ascii="Calibri" w:hAnsi="Calibri" w:cstheme="minorHAnsi"/>
          <w:spacing w:val="-2"/>
          <w:sz w:val="20"/>
          <w:szCs w:val="20"/>
        </w:rPr>
        <w:tab/>
      </w:r>
      <w:hyperlink r:id="rId540" w:tgtFrame="_blank" w:history="1">
        <w:r w:rsidRPr="00C10BBC">
          <w:rPr>
            <w:rFonts w:ascii="Calibri" w:eastAsia="Times New Roman" w:hAnsi="Calibri" w:cstheme="minorHAnsi"/>
            <w:color w:val="0000FF"/>
            <w:spacing w:val="-2"/>
            <w:sz w:val="20"/>
            <w:szCs w:val="20"/>
            <w:u w:val="single"/>
          </w:rPr>
          <w:t>https://doi.org/10.1016/j.yjmcc.2015.08.013</w:t>
        </w:r>
      </w:hyperlink>
      <w:r w:rsidRPr="00C10BBC">
        <w:rPr>
          <w:rFonts w:ascii="Calibri" w:eastAsia="Times New Roman" w:hAnsi="Calibri" w:cstheme="minorHAnsi"/>
          <w:spacing w:val="-2"/>
          <w:sz w:val="20"/>
          <w:szCs w:val="20"/>
        </w:rPr>
        <w:t xml:space="preserve"> </w:t>
      </w:r>
    </w:p>
    <w:p w14:paraId="0E3476D5" w14:textId="77777777" w:rsidR="00615745" w:rsidRPr="00C10BBC" w:rsidRDefault="00615745" w:rsidP="00615745">
      <w:pPr>
        <w:ind w:left="529" w:hangingChars="270" w:hanging="529"/>
        <w:rPr>
          <w:rFonts w:ascii="Calibri" w:eastAsia="Times New Roman" w:hAnsi="Calibri" w:cstheme="minorHAnsi"/>
          <w:spacing w:val="-2"/>
          <w:sz w:val="20"/>
          <w:szCs w:val="20"/>
        </w:rPr>
      </w:pPr>
      <w:r w:rsidRPr="00C10BBC">
        <w:rPr>
          <w:rFonts w:ascii="Calibri" w:hAnsi="Calibri" w:cstheme="minorHAnsi"/>
          <w:spacing w:val="-2"/>
          <w:sz w:val="20"/>
          <w:szCs w:val="20"/>
        </w:rPr>
        <w:tab/>
      </w:r>
      <w:hyperlink r:id="rId541" w:tgtFrame="_blank" w:history="1">
        <w:r w:rsidRPr="00C10BBC">
          <w:rPr>
            <w:rFonts w:ascii="Calibri" w:hAnsi="Calibri" w:cstheme="minorHAnsi"/>
            <w:spacing w:val="-2"/>
            <w:sz w:val="20"/>
            <w:szCs w:val="20"/>
          </w:rPr>
          <w:t>PMID:</w:t>
        </w:r>
        <w:r w:rsidRPr="00C10BBC">
          <w:rPr>
            <w:rFonts w:ascii="Calibri" w:eastAsia="Times New Roman" w:hAnsi="Calibri" w:cstheme="minorHAnsi"/>
            <w:color w:val="0000FF"/>
            <w:spacing w:val="-2"/>
            <w:sz w:val="20"/>
            <w:szCs w:val="20"/>
            <w:u w:val="single"/>
          </w:rPr>
          <w:t>26307149</w:t>
        </w:r>
      </w:hyperlink>
      <w:r w:rsidRPr="00C10BBC">
        <w:rPr>
          <w:rFonts w:ascii="Calibri" w:eastAsia="Times New Roman" w:hAnsi="Calibri" w:cstheme="minorHAnsi"/>
          <w:spacing w:val="-2"/>
          <w:sz w:val="20"/>
          <w:szCs w:val="20"/>
        </w:rPr>
        <w:t xml:space="preserve"> </w:t>
      </w:r>
    </w:p>
    <w:p w14:paraId="0DBF77B0" w14:textId="77777777" w:rsidR="00615745" w:rsidRPr="00C10BBC" w:rsidRDefault="00615745" w:rsidP="00615745">
      <w:pPr>
        <w:ind w:left="529" w:hangingChars="270" w:hanging="529"/>
        <w:rPr>
          <w:rFonts w:ascii="Calibri" w:hAnsi="Calibri" w:cstheme="minorHAnsi"/>
          <w:spacing w:val="-2"/>
          <w:sz w:val="20"/>
          <w:szCs w:val="20"/>
        </w:rPr>
      </w:pPr>
    </w:p>
    <w:p w14:paraId="007F5D3D" w14:textId="10FEDD27" w:rsidR="005F6EF5" w:rsidRDefault="005F6EF5" w:rsidP="00615745">
      <w:pPr>
        <w:pStyle w:val="EndNoteBibliography"/>
        <w:spacing w:line="480" w:lineRule="auto"/>
        <w:ind w:left="400" w:hangingChars="200" w:hanging="400"/>
        <w:jc w:val="left"/>
      </w:pPr>
      <w:bookmarkStart w:id="543" w:name="_GoBack"/>
      <w:bookmarkEnd w:id="543"/>
    </w:p>
    <w:sectPr w:rsidR="005F6E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2B8FE8" w14:textId="77777777" w:rsidR="001E62FB" w:rsidRDefault="001E62FB" w:rsidP="008D4DBE">
      <w:r>
        <w:separator/>
      </w:r>
    </w:p>
  </w:endnote>
  <w:endnote w:type="continuationSeparator" w:id="0">
    <w:p w14:paraId="5C18FB95" w14:textId="77777777" w:rsidR="001E62FB" w:rsidRDefault="001E62FB" w:rsidP="008D4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0AFF" w:usb1="00007843" w:usb2="00000001" w:usb3="00000000" w:csb0="000001BF" w:csb1="00000000"/>
  </w:font>
  <w:font w:name="Arial">
    <w:panose1 w:val="020B0604020202020204"/>
    <w:charset w:val="00"/>
    <w:family w:val="swiss"/>
    <w:pitch w:val="variable"/>
    <w:sig w:usb0="E0000AFF" w:usb1="00007843" w:usb2="00000001" w:usb3="00000000" w:csb0="000001BF" w:csb1="00000000"/>
  </w:font>
  <w:font w:name="Calibri">
    <w:panose1 w:val="020F0502020204030204"/>
    <w:charset w:val="00"/>
    <w:family w:val="swiss"/>
    <w:pitch w:val="variable"/>
    <w:sig w:usb0="E10002FF" w:usb1="4000ACFF" w:usb2="00000009" w:usb3="00000000" w:csb0="0000019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EEF525" w14:textId="77777777" w:rsidR="001E62FB" w:rsidRDefault="001E62FB" w:rsidP="008D4DBE">
      <w:r>
        <w:separator/>
      </w:r>
    </w:p>
  </w:footnote>
  <w:footnote w:type="continuationSeparator" w:id="0">
    <w:p w14:paraId="5D8FC28B" w14:textId="77777777" w:rsidR="001E62FB" w:rsidRDefault="001E62FB" w:rsidP="008D4D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Stroke Copy1&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fddeazrznwsvr6edasvxxptkwpxxxwrzfaf0&quot;&gt;My EndNote Library&lt;record-ids&gt;&lt;item&gt;1&lt;/item&gt;&lt;item&gt;2&lt;/item&gt;&lt;item&gt;3&lt;/item&gt;&lt;item&gt;4&lt;/item&gt;&lt;item&gt;5&lt;/item&gt;&lt;item&gt;6&lt;/item&gt;&lt;item&gt;8&lt;/item&gt;&lt;item&gt;10&lt;/item&gt;&lt;item&gt;11&lt;/item&gt;&lt;item&gt;12&lt;/item&gt;&lt;item&gt;13&lt;/item&gt;&lt;item&gt;14&lt;/item&gt;&lt;item&gt;15&lt;/item&gt;&lt;item&gt;16&lt;/item&gt;&lt;item&gt;17&lt;/item&gt;&lt;item&gt;18&lt;/item&gt;&lt;item&gt;19&lt;/item&gt;&lt;item&gt;20&lt;/item&gt;&lt;item&gt;22&lt;/item&gt;&lt;item&gt;23&lt;/item&gt;&lt;item&gt;24&lt;/item&gt;&lt;item&gt;25&lt;/item&gt;&lt;item&gt;26&lt;/item&gt;&lt;item&gt;28&lt;/item&gt;&lt;item&gt;30&lt;/item&gt;&lt;item&gt;32&lt;/item&gt;&lt;item&gt;33&lt;/item&gt;&lt;item&gt;34&lt;/item&gt;&lt;item&gt;35&lt;/item&gt;&lt;item&gt;36&lt;/item&gt;&lt;item&gt;38&lt;/item&gt;&lt;item&gt;40&lt;/item&gt;&lt;item&gt;41&lt;/item&gt;&lt;item&gt;42&lt;/item&gt;&lt;item&gt;43&lt;/item&gt;&lt;item&gt;44&lt;/item&gt;&lt;item&gt;45&lt;/item&gt;&lt;item&gt;46&lt;/item&gt;&lt;item&gt;47&lt;/item&gt;&lt;item&gt;48&lt;/item&gt;&lt;item&gt;49&lt;/item&gt;&lt;item&gt;50&lt;/item&gt;&lt;item&gt;52&lt;/item&gt;&lt;item&gt;53&lt;/item&gt;&lt;item&gt;54&lt;/item&gt;&lt;item&gt;55&lt;/item&gt;&lt;item&gt;56&lt;/item&gt;&lt;item&gt;57&lt;/item&gt;&lt;item&gt;58&lt;/item&gt;&lt;item&gt;59&lt;/item&gt;&lt;item&gt;60&lt;/item&gt;&lt;item&gt;61&lt;/item&gt;&lt;item&gt;62&lt;/item&gt;&lt;item&gt;64&lt;/item&gt;&lt;item&gt;65&lt;/item&gt;&lt;item&gt;66&lt;/item&gt;&lt;item&gt;67&lt;/item&gt;&lt;item&gt;68&lt;/item&gt;&lt;item&gt;69&lt;/item&gt;&lt;item&gt;70&lt;/item&gt;&lt;item&gt;71&lt;/item&gt;&lt;item&gt;72&lt;/item&gt;&lt;item&gt;73&lt;/item&gt;&lt;item&gt;74&lt;/item&gt;&lt;item&gt;75&lt;/item&gt;&lt;item&gt;77&lt;/item&gt;&lt;item&gt;78&lt;/item&gt;&lt;item&gt;79&lt;/item&gt;&lt;item&gt;80&lt;/item&gt;&lt;item&gt;81&lt;/item&gt;&lt;item&gt;82&lt;/item&gt;&lt;item&gt;83&lt;/item&gt;&lt;item&gt;84&lt;/item&gt;&lt;item&gt;85&lt;/item&gt;&lt;item&gt;86&lt;/item&gt;&lt;item&gt;87&lt;/item&gt;&lt;item&gt;88&lt;/item&gt;&lt;item&gt;89&lt;/item&gt;&lt;item&gt;91&lt;/item&gt;&lt;item&gt;92&lt;/item&gt;&lt;item&gt;96&lt;/item&gt;&lt;item&gt;100&lt;/item&gt;&lt;item&gt;101&lt;/item&gt;&lt;item&gt;102&lt;/item&gt;&lt;item&gt;105&lt;/item&gt;&lt;item&gt;106&lt;/item&gt;&lt;item&gt;107&lt;/item&gt;&lt;item&gt;108&lt;/item&gt;&lt;item&gt;109&lt;/item&gt;&lt;item&gt;110&lt;/item&gt;&lt;item&gt;111&lt;/item&gt;&lt;item&gt;112&lt;/item&gt;&lt;item&gt;113&lt;/item&gt;&lt;item&gt;114&lt;/item&gt;&lt;item&gt;115&lt;/item&gt;&lt;item&gt;116&lt;/item&gt;&lt;item&gt;117&lt;/item&gt;&lt;item&gt;118&lt;/item&gt;&lt;item&gt;119&lt;/item&gt;&lt;item&gt;120&lt;/item&gt;&lt;item&gt;121&lt;/item&gt;&lt;item&gt;122&lt;/item&gt;&lt;item&gt;123&lt;/item&gt;&lt;item&gt;124&lt;/item&gt;&lt;item&gt;126&lt;/item&gt;&lt;item&gt;127&lt;/item&gt;&lt;item&gt;128&lt;/item&gt;&lt;item&gt;129&lt;/item&gt;&lt;item&gt;130&lt;/item&gt;&lt;item&gt;131&lt;/item&gt;&lt;item&gt;132&lt;/item&gt;&lt;item&gt;133&lt;/item&gt;&lt;item&gt;134&lt;/item&gt;&lt;item&gt;135&lt;/item&gt;&lt;item&gt;136&lt;/item&gt;&lt;item&gt;137&lt;/item&gt;&lt;item&gt;138&lt;/item&gt;&lt;item&gt;140&lt;/item&gt;&lt;item&gt;141&lt;/item&gt;&lt;item&gt;142&lt;/item&gt;&lt;item&gt;143&lt;/item&gt;&lt;item&gt;144&lt;/item&gt;&lt;item&gt;145&lt;/item&gt;&lt;item&gt;146&lt;/item&gt;&lt;item&gt;147&lt;/item&gt;&lt;item&gt;148&lt;/item&gt;&lt;item&gt;149&lt;/item&gt;&lt;item&gt;150&lt;/item&gt;&lt;item&gt;151&lt;/item&gt;&lt;item&gt;152&lt;/item&gt;&lt;item&gt;153&lt;/item&gt;&lt;item&gt;154&lt;/item&gt;&lt;item&gt;155&lt;/item&gt;&lt;item&gt;156&lt;/item&gt;&lt;item&gt;157&lt;/item&gt;&lt;item&gt;158&lt;/item&gt;&lt;item&gt;159&lt;/item&gt;&lt;item&gt;160&lt;/item&gt;&lt;item&gt;161&lt;/item&gt;&lt;item&gt;162&lt;/item&gt;&lt;item&gt;163&lt;/item&gt;&lt;item&gt;165&lt;/item&gt;&lt;item&gt;166&lt;/item&gt;&lt;item&gt;167&lt;/item&gt;&lt;item&gt;170&lt;/item&gt;&lt;item&gt;171&lt;/item&gt;&lt;item&gt;173&lt;/item&gt;&lt;item&gt;174&lt;/item&gt;&lt;item&gt;175&lt;/item&gt;&lt;item&gt;176&lt;/item&gt;&lt;item&gt;178&lt;/item&gt;&lt;item&gt;179&lt;/item&gt;&lt;item&gt;180&lt;/item&gt;&lt;item&gt;181&lt;/item&gt;&lt;item&gt;182&lt;/item&gt;&lt;item&gt;183&lt;/item&gt;&lt;item&gt;184&lt;/item&gt;&lt;item&gt;185&lt;/item&gt;&lt;item&gt;186&lt;/item&gt;&lt;item&gt;187&lt;/item&gt;&lt;item&gt;188&lt;/item&gt;&lt;item&gt;189&lt;/item&gt;&lt;item&gt;190&lt;/item&gt;&lt;item&gt;191&lt;/item&gt;&lt;item&gt;192&lt;/item&gt;&lt;item&gt;193&lt;/item&gt;&lt;item&gt;194&lt;/item&gt;&lt;item&gt;195&lt;/item&gt;&lt;item&gt;196&lt;/item&gt;&lt;item&gt;197&lt;/item&gt;&lt;item&gt;198&lt;/item&gt;&lt;item&gt;199&lt;/item&gt;&lt;item&gt;200&lt;/item&gt;&lt;item&gt;201&lt;/item&gt;&lt;item&gt;202&lt;/item&gt;&lt;item&gt;203&lt;/item&gt;&lt;item&gt;204&lt;/item&gt;&lt;item&gt;205&lt;/item&gt;&lt;item&gt;206&lt;/item&gt;&lt;item&gt;207&lt;/item&gt;&lt;item&gt;208&lt;/item&gt;&lt;item&gt;209&lt;/item&gt;&lt;item&gt;210&lt;/item&gt;&lt;item&gt;212&lt;/item&gt;&lt;item&gt;213&lt;/item&gt;&lt;item&gt;214&lt;/item&gt;&lt;item&gt;215&lt;/item&gt;&lt;item&gt;217&lt;/item&gt;&lt;item&gt;218&lt;/item&gt;&lt;item&gt;219&lt;/item&gt;&lt;item&gt;220&lt;/item&gt;&lt;item&gt;221&lt;/item&gt;&lt;item&gt;222&lt;/item&gt;&lt;item&gt;223&lt;/item&gt;&lt;item&gt;224&lt;/item&gt;&lt;item&gt;225&lt;/item&gt;&lt;item&gt;226&lt;/item&gt;&lt;item&gt;227&lt;/item&gt;&lt;item&gt;228&lt;/item&gt;&lt;item&gt;229&lt;/item&gt;&lt;item&gt;230&lt;/item&gt;&lt;item&gt;231&lt;/item&gt;&lt;item&gt;232&lt;/item&gt;&lt;item&gt;233&lt;/item&gt;&lt;item&gt;236&lt;/item&gt;&lt;item&gt;237&lt;/item&gt;&lt;item&gt;239&lt;/item&gt;&lt;item&gt;240&lt;/item&gt;&lt;item&gt;241&lt;/item&gt;&lt;item&gt;242&lt;/item&gt;&lt;item&gt;243&lt;/item&gt;&lt;item&gt;244&lt;/item&gt;&lt;item&gt;245&lt;/item&gt;&lt;item&gt;246&lt;/item&gt;&lt;item&gt;247&lt;/item&gt;&lt;item&gt;248&lt;/item&gt;&lt;item&gt;249&lt;/item&gt;&lt;item&gt;250&lt;/item&gt;&lt;item&gt;253&lt;/item&gt;&lt;item&gt;254&lt;/item&gt;&lt;item&gt;256&lt;/item&gt;&lt;item&gt;257&lt;/item&gt;&lt;item&gt;258&lt;/item&gt;&lt;item&gt;259&lt;/item&gt;&lt;item&gt;261&lt;/item&gt;&lt;item&gt;262&lt;/item&gt;&lt;item&gt;263&lt;/item&gt;&lt;item&gt;264&lt;/item&gt;&lt;item&gt;266&lt;/item&gt;&lt;item&gt;267&lt;/item&gt;&lt;item&gt;268&lt;/item&gt;&lt;item&gt;269&lt;/item&gt;&lt;item&gt;270&lt;/item&gt;&lt;item&gt;271&lt;/item&gt;&lt;item&gt;272&lt;/item&gt;&lt;item&gt;273&lt;/item&gt;&lt;item&gt;274&lt;/item&gt;&lt;item&gt;275&lt;/item&gt;&lt;item&gt;276&lt;/item&gt;&lt;item&gt;277&lt;/item&gt;&lt;item&gt;278&lt;/item&gt;&lt;item&gt;279&lt;/item&gt;&lt;item&gt;280&lt;/item&gt;&lt;item&gt;281&lt;/item&gt;&lt;item&gt;282&lt;/item&gt;&lt;item&gt;283&lt;/item&gt;&lt;item&gt;284&lt;/item&gt;&lt;item&gt;285&lt;/item&gt;&lt;item&gt;286&lt;/item&gt;&lt;item&gt;287&lt;/item&gt;&lt;item&gt;288&lt;/item&gt;&lt;item&gt;289&lt;/item&gt;&lt;item&gt;290&lt;/item&gt;&lt;item&gt;291&lt;/item&gt;&lt;item&gt;292&lt;/item&gt;&lt;item&gt;294&lt;/item&gt;&lt;item&gt;295&lt;/item&gt;&lt;item&gt;296&lt;/item&gt;&lt;item&gt;297&lt;/item&gt;&lt;item&gt;298&lt;/item&gt;&lt;item&gt;299&lt;/item&gt;&lt;item&gt;300&lt;/item&gt;&lt;item&gt;301&lt;/item&gt;&lt;item&gt;310&lt;/item&gt;&lt;item&gt;313&lt;/item&gt;&lt;item&gt;314&lt;/item&gt;&lt;item&gt;315&lt;/item&gt;&lt;item&gt;316&lt;/item&gt;&lt;item&gt;317&lt;/item&gt;&lt;item&gt;318&lt;/item&gt;&lt;item&gt;319&lt;/item&gt;&lt;item&gt;320&lt;/item&gt;&lt;item&gt;322&lt;/item&gt;&lt;item&gt;324&lt;/item&gt;&lt;item&gt;326&lt;/item&gt;&lt;item&gt;327&lt;/item&gt;&lt;item&gt;330&lt;/item&gt;&lt;item&gt;331&lt;/item&gt;&lt;item&gt;332&lt;/item&gt;&lt;item&gt;333&lt;/item&gt;&lt;/record-ids&gt;&lt;/item&gt;&lt;/Libraries&gt;"/>
  </w:docVars>
  <w:rsids>
    <w:rsidRoot w:val="00287FBA"/>
    <w:rsid w:val="00044928"/>
    <w:rsid w:val="00062B19"/>
    <w:rsid w:val="00087166"/>
    <w:rsid w:val="000A55E3"/>
    <w:rsid w:val="000B1FE2"/>
    <w:rsid w:val="000C6F8E"/>
    <w:rsid w:val="00105946"/>
    <w:rsid w:val="00113112"/>
    <w:rsid w:val="001134C7"/>
    <w:rsid w:val="001456A5"/>
    <w:rsid w:val="00152AFB"/>
    <w:rsid w:val="00160B5A"/>
    <w:rsid w:val="00163A92"/>
    <w:rsid w:val="0017710C"/>
    <w:rsid w:val="00184B37"/>
    <w:rsid w:val="001E2E6C"/>
    <w:rsid w:val="001E62FB"/>
    <w:rsid w:val="001F5DC4"/>
    <w:rsid w:val="0020315A"/>
    <w:rsid w:val="00287FBA"/>
    <w:rsid w:val="002B0504"/>
    <w:rsid w:val="002C3397"/>
    <w:rsid w:val="002D3986"/>
    <w:rsid w:val="002E64AB"/>
    <w:rsid w:val="002F6145"/>
    <w:rsid w:val="003075F3"/>
    <w:rsid w:val="0031345C"/>
    <w:rsid w:val="00330F7B"/>
    <w:rsid w:val="0034778B"/>
    <w:rsid w:val="00357290"/>
    <w:rsid w:val="003627DF"/>
    <w:rsid w:val="0037160C"/>
    <w:rsid w:val="00373C73"/>
    <w:rsid w:val="00377092"/>
    <w:rsid w:val="003832C1"/>
    <w:rsid w:val="003A5B7A"/>
    <w:rsid w:val="003C257D"/>
    <w:rsid w:val="003E158B"/>
    <w:rsid w:val="00402535"/>
    <w:rsid w:val="004303B3"/>
    <w:rsid w:val="00452FC8"/>
    <w:rsid w:val="00453AE7"/>
    <w:rsid w:val="00456A95"/>
    <w:rsid w:val="004621DF"/>
    <w:rsid w:val="00462679"/>
    <w:rsid w:val="0049713C"/>
    <w:rsid w:val="00497314"/>
    <w:rsid w:val="004E47B1"/>
    <w:rsid w:val="00512AE1"/>
    <w:rsid w:val="00525E68"/>
    <w:rsid w:val="0056725F"/>
    <w:rsid w:val="005837DB"/>
    <w:rsid w:val="005869A6"/>
    <w:rsid w:val="0059526B"/>
    <w:rsid w:val="005952B2"/>
    <w:rsid w:val="005A7CEC"/>
    <w:rsid w:val="005B2242"/>
    <w:rsid w:val="005B6A6A"/>
    <w:rsid w:val="005C3721"/>
    <w:rsid w:val="005F6EF5"/>
    <w:rsid w:val="00615745"/>
    <w:rsid w:val="006165A3"/>
    <w:rsid w:val="00640117"/>
    <w:rsid w:val="00642BBD"/>
    <w:rsid w:val="006574AB"/>
    <w:rsid w:val="00662B3A"/>
    <w:rsid w:val="00686A2C"/>
    <w:rsid w:val="0069171F"/>
    <w:rsid w:val="006C0CA8"/>
    <w:rsid w:val="00727AC8"/>
    <w:rsid w:val="00744819"/>
    <w:rsid w:val="007754EB"/>
    <w:rsid w:val="00776BB3"/>
    <w:rsid w:val="007839BE"/>
    <w:rsid w:val="007A0330"/>
    <w:rsid w:val="007A581A"/>
    <w:rsid w:val="007B7C8C"/>
    <w:rsid w:val="007E380C"/>
    <w:rsid w:val="007E4AAD"/>
    <w:rsid w:val="007F1DB7"/>
    <w:rsid w:val="008003AF"/>
    <w:rsid w:val="00805356"/>
    <w:rsid w:val="008058AA"/>
    <w:rsid w:val="0087466F"/>
    <w:rsid w:val="00883759"/>
    <w:rsid w:val="00891009"/>
    <w:rsid w:val="0089678E"/>
    <w:rsid w:val="008A7919"/>
    <w:rsid w:val="008A7B57"/>
    <w:rsid w:val="008D4DBE"/>
    <w:rsid w:val="008E2223"/>
    <w:rsid w:val="00910C0D"/>
    <w:rsid w:val="00911629"/>
    <w:rsid w:val="00916F45"/>
    <w:rsid w:val="00933C4F"/>
    <w:rsid w:val="00953358"/>
    <w:rsid w:val="009772B8"/>
    <w:rsid w:val="009B78D5"/>
    <w:rsid w:val="009C0A2E"/>
    <w:rsid w:val="009D25DD"/>
    <w:rsid w:val="009D4124"/>
    <w:rsid w:val="009E12A2"/>
    <w:rsid w:val="009E4AA3"/>
    <w:rsid w:val="00A02432"/>
    <w:rsid w:val="00A176B5"/>
    <w:rsid w:val="00A55F4A"/>
    <w:rsid w:val="00A60161"/>
    <w:rsid w:val="00AA630C"/>
    <w:rsid w:val="00AB06B8"/>
    <w:rsid w:val="00AB5C7B"/>
    <w:rsid w:val="00AC1F2B"/>
    <w:rsid w:val="00AC25EC"/>
    <w:rsid w:val="00AE1857"/>
    <w:rsid w:val="00AE500C"/>
    <w:rsid w:val="00AF5A3E"/>
    <w:rsid w:val="00B00333"/>
    <w:rsid w:val="00B30D51"/>
    <w:rsid w:val="00B34B7F"/>
    <w:rsid w:val="00B408F4"/>
    <w:rsid w:val="00B45D43"/>
    <w:rsid w:val="00B63038"/>
    <w:rsid w:val="00B66589"/>
    <w:rsid w:val="00B94BE9"/>
    <w:rsid w:val="00BA5941"/>
    <w:rsid w:val="00BD2D51"/>
    <w:rsid w:val="00BD4D59"/>
    <w:rsid w:val="00BF1CD3"/>
    <w:rsid w:val="00C111E7"/>
    <w:rsid w:val="00C45792"/>
    <w:rsid w:val="00C72428"/>
    <w:rsid w:val="00C90124"/>
    <w:rsid w:val="00CD0554"/>
    <w:rsid w:val="00CD1326"/>
    <w:rsid w:val="00CD3052"/>
    <w:rsid w:val="00CE666E"/>
    <w:rsid w:val="00D22A41"/>
    <w:rsid w:val="00D24D48"/>
    <w:rsid w:val="00D35127"/>
    <w:rsid w:val="00D41669"/>
    <w:rsid w:val="00D47BE5"/>
    <w:rsid w:val="00DA18F9"/>
    <w:rsid w:val="00DC0C92"/>
    <w:rsid w:val="00DC51B0"/>
    <w:rsid w:val="00DC51D6"/>
    <w:rsid w:val="00E07D9A"/>
    <w:rsid w:val="00E2473D"/>
    <w:rsid w:val="00E270FA"/>
    <w:rsid w:val="00E551DE"/>
    <w:rsid w:val="00E564AB"/>
    <w:rsid w:val="00E56772"/>
    <w:rsid w:val="00E75DA5"/>
    <w:rsid w:val="00E8059D"/>
    <w:rsid w:val="00EB0DCF"/>
    <w:rsid w:val="00EB7339"/>
    <w:rsid w:val="00EC7A9C"/>
    <w:rsid w:val="00ED0379"/>
    <w:rsid w:val="00EE5CBB"/>
    <w:rsid w:val="00EF16C4"/>
    <w:rsid w:val="00EF6FFF"/>
    <w:rsid w:val="00F05D34"/>
    <w:rsid w:val="00F07C9B"/>
    <w:rsid w:val="00F121B9"/>
    <w:rsid w:val="00F15EFA"/>
    <w:rsid w:val="00F37191"/>
    <w:rsid w:val="00F45813"/>
    <w:rsid w:val="00F727A9"/>
    <w:rsid w:val="00F97F04"/>
    <w:rsid w:val="00FB190D"/>
    <w:rsid w:val="00FD1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8A0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4DB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8D4DBE"/>
    <w:rPr>
      <w:sz w:val="18"/>
      <w:szCs w:val="18"/>
    </w:rPr>
  </w:style>
  <w:style w:type="paragraph" w:styleId="Footer">
    <w:name w:val="footer"/>
    <w:basedOn w:val="Normal"/>
    <w:link w:val="FooterChar"/>
    <w:uiPriority w:val="99"/>
    <w:unhideWhenUsed/>
    <w:rsid w:val="008D4DBE"/>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8D4DBE"/>
    <w:rPr>
      <w:sz w:val="18"/>
      <w:szCs w:val="18"/>
    </w:rPr>
  </w:style>
  <w:style w:type="paragraph" w:customStyle="1" w:styleId="EndNoteBibliographyTitle">
    <w:name w:val="EndNote Bibliography Title"/>
    <w:basedOn w:val="Normal"/>
    <w:link w:val="EndNoteBibliographyTitle0"/>
    <w:rsid w:val="007839BE"/>
    <w:pPr>
      <w:jc w:val="center"/>
    </w:pPr>
    <w:rPr>
      <w:rFonts w:ascii="等线" w:eastAsia="等线" w:hAnsi="等线"/>
      <w:noProof/>
      <w:sz w:val="20"/>
    </w:rPr>
  </w:style>
  <w:style w:type="character" w:customStyle="1" w:styleId="EndNoteBibliographyTitle0">
    <w:name w:val="EndNote Bibliography Title 字符"/>
    <w:basedOn w:val="DefaultParagraphFont"/>
    <w:link w:val="EndNoteBibliographyTitle"/>
    <w:rsid w:val="007839BE"/>
    <w:rPr>
      <w:rFonts w:ascii="等线" w:eastAsia="等线" w:hAnsi="等线"/>
      <w:noProof/>
      <w:sz w:val="20"/>
    </w:rPr>
  </w:style>
  <w:style w:type="paragraph" w:customStyle="1" w:styleId="EndNoteBibliography">
    <w:name w:val="EndNote Bibliography"/>
    <w:basedOn w:val="Normal"/>
    <w:link w:val="EndNoteBibliography0"/>
    <w:rsid w:val="007839BE"/>
    <w:rPr>
      <w:rFonts w:ascii="等线" w:eastAsia="等线" w:hAnsi="等线"/>
      <w:noProof/>
      <w:sz w:val="20"/>
    </w:rPr>
  </w:style>
  <w:style w:type="character" w:customStyle="1" w:styleId="EndNoteBibliography0">
    <w:name w:val="EndNote Bibliography 字符"/>
    <w:basedOn w:val="DefaultParagraphFont"/>
    <w:link w:val="EndNoteBibliography"/>
    <w:rsid w:val="007839BE"/>
    <w:rPr>
      <w:rFonts w:ascii="等线" w:eastAsia="等线" w:hAnsi="等线"/>
      <w:noProof/>
      <w:sz w:val="20"/>
    </w:rPr>
  </w:style>
  <w:style w:type="character" w:styleId="Hyperlink">
    <w:name w:val="Hyperlink"/>
    <w:basedOn w:val="DefaultParagraphFont"/>
    <w:uiPriority w:val="99"/>
    <w:unhideWhenUsed/>
    <w:rsid w:val="007839BE"/>
    <w:rPr>
      <w:color w:val="0563C1" w:themeColor="hyperlink"/>
      <w:u w:val="single"/>
    </w:rPr>
  </w:style>
  <w:style w:type="character" w:customStyle="1" w:styleId="UnresolvedMention">
    <w:name w:val="Unresolved Mention"/>
    <w:basedOn w:val="DefaultParagraphFont"/>
    <w:uiPriority w:val="99"/>
    <w:semiHidden/>
    <w:unhideWhenUsed/>
    <w:rsid w:val="007839B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4DB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8D4DBE"/>
    <w:rPr>
      <w:sz w:val="18"/>
      <w:szCs w:val="18"/>
    </w:rPr>
  </w:style>
  <w:style w:type="paragraph" w:styleId="Footer">
    <w:name w:val="footer"/>
    <w:basedOn w:val="Normal"/>
    <w:link w:val="FooterChar"/>
    <w:uiPriority w:val="99"/>
    <w:unhideWhenUsed/>
    <w:rsid w:val="008D4DBE"/>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8D4DBE"/>
    <w:rPr>
      <w:sz w:val="18"/>
      <w:szCs w:val="18"/>
    </w:rPr>
  </w:style>
  <w:style w:type="paragraph" w:customStyle="1" w:styleId="EndNoteBibliographyTitle">
    <w:name w:val="EndNote Bibliography Title"/>
    <w:basedOn w:val="Normal"/>
    <w:link w:val="EndNoteBibliographyTitle0"/>
    <w:rsid w:val="007839BE"/>
    <w:pPr>
      <w:jc w:val="center"/>
    </w:pPr>
    <w:rPr>
      <w:rFonts w:ascii="等线" w:eastAsia="等线" w:hAnsi="等线"/>
      <w:noProof/>
      <w:sz w:val="20"/>
    </w:rPr>
  </w:style>
  <w:style w:type="character" w:customStyle="1" w:styleId="EndNoteBibliographyTitle0">
    <w:name w:val="EndNote Bibliography Title 字符"/>
    <w:basedOn w:val="DefaultParagraphFont"/>
    <w:link w:val="EndNoteBibliographyTitle"/>
    <w:rsid w:val="007839BE"/>
    <w:rPr>
      <w:rFonts w:ascii="等线" w:eastAsia="等线" w:hAnsi="等线"/>
      <w:noProof/>
      <w:sz w:val="20"/>
    </w:rPr>
  </w:style>
  <w:style w:type="paragraph" w:customStyle="1" w:styleId="EndNoteBibliography">
    <w:name w:val="EndNote Bibliography"/>
    <w:basedOn w:val="Normal"/>
    <w:link w:val="EndNoteBibliography0"/>
    <w:rsid w:val="007839BE"/>
    <w:rPr>
      <w:rFonts w:ascii="等线" w:eastAsia="等线" w:hAnsi="等线"/>
      <w:noProof/>
      <w:sz w:val="20"/>
    </w:rPr>
  </w:style>
  <w:style w:type="character" w:customStyle="1" w:styleId="EndNoteBibliography0">
    <w:name w:val="EndNote Bibliography 字符"/>
    <w:basedOn w:val="DefaultParagraphFont"/>
    <w:link w:val="EndNoteBibliography"/>
    <w:rsid w:val="007839BE"/>
    <w:rPr>
      <w:rFonts w:ascii="等线" w:eastAsia="等线" w:hAnsi="等线"/>
      <w:noProof/>
      <w:sz w:val="20"/>
    </w:rPr>
  </w:style>
  <w:style w:type="character" w:styleId="Hyperlink">
    <w:name w:val="Hyperlink"/>
    <w:basedOn w:val="DefaultParagraphFont"/>
    <w:uiPriority w:val="99"/>
    <w:unhideWhenUsed/>
    <w:rsid w:val="007839BE"/>
    <w:rPr>
      <w:color w:val="0563C1" w:themeColor="hyperlink"/>
      <w:u w:val="single"/>
    </w:rPr>
  </w:style>
  <w:style w:type="character" w:customStyle="1" w:styleId="UnresolvedMention">
    <w:name w:val="Unresolved Mention"/>
    <w:basedOn w:val="DefaultParagraphFont"/>
    <w:uiPriority w:val="99"/>
    <w:semiHidden/>
    <w:unhideWhenUsed/>
    <w:rsid w:val="007839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7350">
      <w:bodyDiv w:val="1"/>
      <w:marLeft w:val="0"/>
      <w:marRight w:val="0"/>
      <w:marTop w:val="0"/>
      <w:marBottom w:val="0"/>
      <w:divBdr>
        <w:top w:val="none" w:sz="0" w:space="0" w:color="auto"/>
        <w:left w:val="none" w:sz="0" w:space="0" w:color="auto"/>
        <w:bottom w:val="none" w:sz="0" w:space="0" w:color="auto"/>
        <w:right w:val="none" w:sz="0" w:space="0" w:color="auto"/>
      </w:divBdr>
    </w:div>
    <w:div w:id="16394580">
      <w:bodyDiv w:val="1"/>
      <w:marLeft w:val="0"/>
      <w:marRight w:val="0"/>
      <w:marTop w:val="0"/>
      <w:marBottom w:val="0"/>
      <w:divBdr>
        <w:top w:val="none" w:sz="0" w:space="0" w:color="auto"/>
        <w:left w:val="none" w:sz="0" w:space="0" w:color="auto"/>
        <w:bottom w:val="none" w:sz="0" w:space="0" w:color="auto"/>
        <w:right w:val="none" w:sz="0" w:space="0" w:color="auto"/>
      </w:divBdr>
    </w:div>
    <w:div w:id="120652814">
      <w:bodyDiv w:val="1"/>
      <w:marLeft w:val="0"/>
      <w:marRight w:val="0"/>
      <w:marTop w:val="0"/>
      <w:marBottom w:val="0"/>
      <w:divBdr>
        <w:top w:val="none" w:sz="0" w:space="0" w:color="auto"/>
        <w:left w:val="none" w:sz="0" w:space="0" w:color="auto"/>
        <w:bottom w:val="none" w:sz="0" w:space="0" w:color="auto"/>
        <w:right w:val="none" w:sz="0" w:space="0" w:color="auto"/>
      </w:divBdr>
    </w:div>
    <w:div w:id="222563707">
      <w:bodyDiv w:val="1"/>
      <w:marLeft w:val="0"/>
      <w:marRight w:val="0"/>
      <w:marTop w:val="0"/>
      <w:marBottom w:val="0"/>
      <w:divBdr>
        <w:top w:val="none" w:sz="0" w:space="0" w:color="auto"/>
        <w:left w:val="none" w:sz="0" w:space="0" w:color="auto"/>
        <w:bottom w:val="none" w:sz="0" w:space="0" w:color="auto"/>
        <w:right w:val="none" w:sz="0" w:space="0" w:color="auto"/>
      </w:divBdr>
    </w:div>
    <w:div w:id="239290294">
      <w:bodyDiv w:val="1"/>
      <w:marLeft w:val="0"/>
      <w:marRight w:val="0"/>
      <w:marTop w:val="0"/>
      <w:marBottom w:val="0"/>
      <w:divBdr>
        <w:top w:val="none" w:sz="0" w:space="0" w:color="auto"/>
        <w:left w:val="none" w:sz="0" w:space="0" w:color="auto"/>
        <w:bottom w:val="none" w:sz="0" w:space="0" w:color="auto"/>
        <w:right w:val="none" w:sz="0" w:space="0" w:color="auto"/>
      </w:divBdr>
    </w:div>
    <w:div w:id="270549007">
      <w:bodyDiv w:val="1"/>
      <w:marLeft w:val="0"/>
      <w:marRight w:val="0"/>
      <w:marTop w:val="0"/>
      <w:marBottom w:val="0"/>
      <w:divBdr>
        <w:top w:val="none" w:sz="0" w:space="0" w:color="auto"/>
        <w:left w:val="none" w:sz="0" w:space="0" w:color="auto"/>
        <w:bottom w:val="none" w:sz="0" w:space="0" w:color="auto"/>
        <w:right w:val="none" w:sz="0" w:space="0" w:color="auto"/>
      </w:divBdr>
    </w:div>
    <w:div w:id="282661320">
      <w:bodyDiv w:val="1"/>
      <w:marLeft w:val="0"/>
      <w:marRight w:val="0"/>
      <w:marTop w:val="0"/>
      <w:marBottom w:val="0"/>
      <w:divBdr>
        <w:top w:val="none" w:sz="0" w:space="0" w:color="auto"/>
        <w:left w:val="none" w:sz="0" w:space="0" w:color="auto"/>
        <w:bottom w:val="none" w:sz="0" w:space="0" w:color="auto"/>
        <w:right w:val="none" w:sz="0" w:space="0" w:color="auto"/>
      </w:divBdr>
    </w:div>
    <w:div w:id="373235474">
      <w:bodyDiv w:val="1"/>
      <w:marLeft w:val="0"/>
      <w:marRight w:val="0"/>
      <w:marTop w:val="0"/>
      <w:marBottom w:val="0"/>
      <w:divBdr>
        <w:top w:val="none" w:sz="0" w:space="0" w:color="auto"/>
        <w:left w:val="none" w:sz="0" w:space="0" w:color="auto"/>
        <w:bottom w:val="none" w:sz="0" w:space="0" w:color="auto"/>
        <w:right w:val="none" w:sz="0" w:space="0" w:color="auto"/>
      </w:divBdr>
    </w:div>
    <w:div w:id="402531469">
      <w:bodyDiv w:val="1"/>
      <w:marLeft w:val="0"/>
      <w:marRight w:val="0"/>
      <w:marTop w:val="0"/>
      <w:marBottom w:val="0"/>
      <w:divBdr>
        <w:top w:val="none" w:sz="0" w:space="0" w:color="auto"/>
        <w:left w:val="none" w:sz="0" w:space="0" w:color="auto"/>
        <w:bottom w:val="none" w:sz="0" w:space="0" w:color="auto"/>
        <w:right w:val="none" w:sz="0" w:space="0" w:color="auto"/>
      </w:divBdr>
    </w:div>
    <w:div w:id="415056771">
      <w:bodyDiv w:val="1"/>
      <w:marLeft w:val="0"/>
      <w:marRight w:val="0"/>
      <w:marTop w:val="0"/>
      <w:marBottom w:val="0"/>
      <w:divBdr>
        <w:top w:val="none" w:sz="0" w:space="0" w:color="auto"/>
        <w:left w:val="none" w:sz="0" w:space="0" w:color="auto"/>
        <w:bottom w:val="none" w:sz="0" w:space="0" w:color="auto"/>
        <w:right w:val="none" w:sz="0" w:space="0" w:color="auto"/>
      </w:divBdr>
    </w:div>
    <w:div w:id="427193013">
      <w:bodyDiv w:val="1"/>
      <w:marLeft w:val="0"/>
      <w:marRight w:val="0"/>
      <w:marTop w:val="0"/>
      <w:marBottom w:val="0"/>
      <w:divBdr>
        <w:top w:val="none" w:sz="0" w:space="0" w:color="auto"/>
        <w:left w:val="none" w:sz="0" w:space="0" w:color="auto"/>
        <w:bottom w:val="none" w:sz="0" w:space="0" w:color="auto"/>
        <w:right w:val="none" w:sz="0" w:space="0" w:color="auto"/>
      </w:divBdr>
    </w:div>
    <w:div w:id="438184925">
      <w:bodyDiv w:val="1"/>
      <w:marLeft w:val="0"/>
      <w:marRight w:val="0"/>
      <w:marTop w:val="0"/>
      <w:marBottom w:val="0"/>
      <w:divBdr>
        <w:top w:val="none" w:sz="0" w:space="0" w:color="auto"/>
        <w:left w:val="none" w:sz="0" w:space="0" w:color="auto"/>
        <w:bottom w:val="none" w:sz="0" w:space="0" w:color="auto"/>
        <w:right w:val="none" w:sz="0" w:space="0" w:color="auto"/>
      </w:divBdr>
    </w:div>
    <w:div w:id="448014414">
      <w:bodyDiv w:val="1"/>
      <w:marLeft w:val="0"/>
      <w:marRight w:val="0"/>
      <w:marTop w:val="0"/>
      <w:marBottom w:val="0"/>
      <w:divBdr>
        <w:top w:val="none" w:sz="0" w:space="0" w:color="auto"/>
        <w:left w:val="none" w:sz="0" w:space="0" w:color="auto"/>
        <w:bottom w:val="none" w:sz="0" w:space="0" w:color="auto"/>
        <w:right w:val="none" w:sz="0" w:space="0" w:color="auto"/>
      </w:divBdr>
    </w:div>
    <w:div w:id="483937488">
      <w:bodyDiv w:val="1"/>
      <w:marLeft w:val="0"/>
      <w:marRight w:val="0"/>
      <w:marTop w:val="0"/>
      <w:marBottom w:val="0"/>
      <w:divBdr>
        <w:top w:val="none" w:sz="0" w:space="0" w:color="auto"/>
        <w:left w:val="none" w:sz="0" w:space="0" w:color="auto"/>
        <w:bottom w:val="none" w:sz="0" w:space="0" w:color="auto"/>
        <w:right w:val="none" w:sz="0" w:space="0" w:color="auto"/>
      </w:divBdr>
    </w:div>
    <w:div w:id="515734903">
      <w:bodyDiv w:val="1"/>
      <w:marLeft w:val="0"/>
      <w:marRight w:val="0"/>
      <w:marTop w:val="0"/>
      <w:marBottom w:val="0"/>
      <w:divBdr>
        <w:top w:val="none" w:sz="0" w:space="0" w:color="auto"/>
        <w:left w:val="none" w:sz="0" w:space="0" w:color="auto"/>
        <w:bottom w:val="none" w:sz="0" w:space="0" w:color="auto"/>
        <w:right w:val="none" w:sz="0" w:space="0" w:color="auto"/>
      </w:divBdr>
    </w:div>
    <w:div w:id="529294280">
      <w:bodyDiv w:val="1"/>
      <w:marLeft w:val="0"/>
      <w:marRight w:val="0"/>
      <w:marTop w:val="0"/>
      <w:marBottom w:val="0"/>
      <w:divBdr>
        <w:top w:val="none" w:sz="0" w:space="0" w:color="auto"/>
        <w:left w:val="none" w:sz="0" w:space="0" w:color="auto"/>
        <w:bottom w:val="none" w:sz="0" w:space="0" w:color="auto"/>
        <w:right w:val="none" w:sz="0" w:space="0" w:color="auto"/>
      </w:divBdr>
    </w:div>
    <w:div w:id="606037857">
      <w:bodyDiv w:val="1"/>
      <w:marLeft w:val="0"/>
      <w:marRight w:val="0"/>
      <w:marTop w:val="0"/>
      <w:marBottom w:val="0"/>
      <w:divBdr>
        <w:top w:val="none" w:sz="0" w:space="0" w:color="auto"/>
        <w:left w:val="none" w:sz="0" w:space="0" w:color="auto"/>
        <w:bottom w:val="none" w:sz="0" w:space="0" w:color="auto"/>
        <w:right w:val="none" w:sz="0" w:space="0" w:color="auto"/>
      </w:divBdr>
    </w:div>
    <w:div w:id="650063335">
      <w:bodyDiv w:val="1"/>
      <w:marLeft w:val="0"/>
      <w:marRight w:val="0"/>
      <w:marTop w:val="0"/>
      <w:marBottom w:val="0"/>
      <w:divBdr>
        <w:top w:val="none" w:sz="0" w:space="0" w:color="auto"/>
        <w:left w:val="none" w:sz="0" w:space="0" w:color="auto"/>
        <w:bottom w:val="none" w:sz="0" w:space="0" w:color="auto"/>
        <w:right w:val="none" w:sz="0" w:space="0" w:color="auto"/>
      </w:divBdr>
    </w:div>
    <w:div w:id="653610039">
      <w:bodyDiv w:val="1"/>
      <w:marLeft w:val="0"/>
      <w:marRight w:val="0"/>
      <w:marTop w:val="0"/>
      <w:marBottom w:val="0"/>
      <w:divBdr>
        <w:top w:val="none" w:sz="0" w:space="0" w:color="auto"/>
        <w:left w:val="none" w:sz="0" w:space="0" w:color="auto"/>
        <w:bottom w:val="none" w:sz="0" w:space="0" w:color="auto"/>
        <w:right w:val="none" w:sz="0" w:space="0" w:color="auto"/>
      </w:divBdr>
    </w:div>
    <w:div w:id="663896831">
      <w:bodyDiv w:val="1"/>
      <w:marLeft w:val="0"/>
      <w:marRight w:val="0"/>
      <w:marTop w:val="0"/>
      <w:marBottom w:val="0"/>
      <w:divBdr>
        <w:top w:val="none" w:sz="0" w:space="0" w:color="auto"/>
        <w:left w:val="none" w:sz="0" w:space="0" w:color="auto"/>
        <w:bottom w:val="none" w:sz="0" w:space="0" w:color="auto"/>
        <w:right w:val="none" w:sz="0" w:space="0" w:color="auto"/>
      </w:divBdr>
    </w:div>
    <w:div w:id="687215846">
      <w:bodyDiv w:val="1"/>
      <w:marLeft w:val="0"/>
      <w:marRight w:val="0"/>
      <w:marTop w:val="0"/>
      <w:marBottom w:val="0"/>
      <w:divBdr>
        <w:top w:val="none" w:sz="0" w:space="0" w:color="auto"/>
        <w:left w:val="none" w:sz="0" w:space="0" w:color="auto"/>
        <w:bottom w:val="none" w:sz="0" w:space="0" w:color="auto"/>
        <w:right w:val="none" w:sz="0" w:space="0" w:color="auto"/>
      </w:divBdr>
    </w:div>
    <w:div w:id="708913262">
      <w:bodyDiv w:val="1"/>
      <w:marLeft w:val="0"/>
      <w:marRight w:val="0"/>
      <w:marTop w:val="0"/>
      <w:marBottom w:val="0"/>
      <w:divBdr>
        <w:top w:val="none" w:sz="0" w:space="0" w:color="auto"/>
        <w:left w:val="none" w:sz="0" w:space="0" w:color="auto"/>
        <w:bottom w:val="none" w:sz="0" w:space="0" w:color="auto"/>
        <w:right w:val="none" w:sz="0" w:space="0" w:color="auto"/>
      </w:divBdr>
    </w:div>
    <w:div w:id="747503965">
      <w:bodyDiv w:val="1"/>
      <w:marLeft w:val="0"/>
      <w:marRight w:val="0"/>
      <w:marTop w:val="0"/>
      <w:marBottom w:val="0"/>
      <w:divBdr>
        <w:top w:val="none" w:sz="0" w:space="0" w:color="auto"/>
        <w:left w:val="none" w:sz="0" w:space="0" w:color="auto"/>
        <w:bottom w:val="none" w:sz="0" w:space="0" w:color="auto"/>
        <w:right w:val="none" w:sz="0" w:space="0" w:color="auto"/>
      </w:divBdr>
    </w:div>
    <w:div w:id="876741727">
      <w:bodyDiv w:val="1"/>
      <w:marLeft w:val="0"/>
      <w:marRight w:val="0"/>
      <w:marTop w:val="0"/>
      <w:marBottom w:val="0"/>
      <w:divBdr>
        <w:top w:val="none" w:sz="0" w:space="0" w:color="auto"/>
        <w:left w:val="none" w:sz="0" w:space="0" w:color="auto"/>
        <w:bottom w:val="none" w:sz="0" w:space="0" w:color="auto"/>
        <w:right w:val="none" w:sz="0" w:space="0" w:color="auto"/>
      </w:divBdr>
    </w:div>
    <w:div w:id="914096512">
      <w:bodyDiv w:val="1"/>
      <w:marLeft w:val="0"/>
      <w:marRight w:val="0"/>
      <w:marTop w:val="0"/>
      <w:marBottom w:val="0"/>
      <w:divBdr>
        <w:top w:val="none" w:sz="0" w:space="0" w:color="auto"/>
        <w:left w:val="none" w:sz="0" w:space="0" w:color="auto"/>
        <w:bottom w:val="none" w:sz="0" w:space="0" w:color="auto"/>
        <w:right w:val="none" w:sz="0" w:space="0" w:color="auto"/>
      </w:divBdr>
    </w:div>
    <w:div w:id="937524561">
      <w:bodyDiv w:val="1"/>
      <w:marLeft w:val="0"/>
      <w:marRight w:val="0"/>
      <w:marTop w:val="0"/>
      <w:marBottom w:val="0"/>
      <w:divBdr>
        <w:top w:val="none" w:sz="0" w:space="0" w:color="auto"/>
        <w:left w:val="none" w:sz="0" w:space="0" w:color="auto"/>
        <w:bottom w:val="none" w:sz="0" w:space="0" w:color="auto"/>
        <w:right w:val="none" w:sz="0" w:space="0" w:color="auto"/>
      </w:divBdr>
    </w:div>
    <w:div w:id="951084910">
      <w:bodyDiv w:val="1"/>
      <w:marLeft w:val="0"/>
      <w:marRight w:val="0"/>
      <w:marTop w:val="0"/>
      <w:marBottom w:val="0"/>
      <w:divBdr>
        <w:top w:val="none" w:sz="0" w:space="0" w:color="auto"/>
        <w:left w:val="none" w:sz="0" w:space="0" w:color="auto"/>
        <w:bottom w:val="none" w:sz="0" w:space="0" w:color="auto"/>
        <w:right w:val="none" w:sz="0" w:space="0" w:color="auto"/>
      </w:divBdr>
    </w:div>
    <w:div w:id="1035930028">
      <w:bodyDiv w:val="1"/>
      <w:marLeft w:val="0"/>
      <w:marRight w:val="0"/>
      <w:marTop w:val="0"/>
      <w:marBottom w:val="0"/>
      <w:divBdr>
        <w:top w:val="none" w:sz="0" w:space="0" w:color="auto"/>
        <w:left w:val="none" w:sz="0" w:space="0" w:color="auto"/>
        <w:bottom w:val="none" w:sz="0" w:space="0" w:color="auto"/>
        <w:right w:val="none" w:sz="0" w:space="0" w:color="auto"/>
      </w:divBdr>
    </w:div>
    <w:div w:id="1067721985">
      <w:bodyDiv w:val="1"/>
      <w:marLeft w:val="0"/>
      <w:marRight w:val="0"/>
      <w:marTop w:val="0"/>
      <w:marBottom w:val="0"/>
      <w:divBdr>
        <w:top w:val="none" w:sz="0" w:space="0" w:color="auto"/>
        <w:left w:val="none" w:sz="0" w:space="0" w:color="auto"/>
        <w:bottom w:val="none" w:sz="0" w:space="0" w:color="auto"/>
        <w:right w:val="none" w:sz="0" w:space="0" w:color="auto"/>
      </w:divBdr>
    </w:div>
    <w:div w:id="1200321462">
      <w:bodyDiv w:val="1"/>
      <w:marLeft w:val="0"/>
      <w:marRight w:val="0"/>
      <w:marTop w:val="0"/>
      <w:marBottom w:val="0"/>
      <w:divBdr>
        <w:top w:val="none" w:sz="0" w:space="0" w:color="auto"/>
        <w:left w:val="none" w:sz="0" w:space="0" w:color="auto"/>
        <w:bottom w:val="none" w:sz="0" w:space="0" w:color="auto"/>
        <w:right w:val="none" w:sz="0" w:space="0" w:color="auto"/>
      </w:divBdr>
    </w:div>
    <w:div w:id="1309818615">
      <w:bodyDiv w:val="1"/>
      <w:marLeft w:val="0"/>
      <w:marRight w:val="0"/>
      <w:marTop w:val="0"/>
      <w:marBottom w:val="0"/>
      <w:divBdr>
        <w:top w:val="none" w:sz="0" w:space="0" w:color="auto"/>
        <w:left w:val="none" w:sz="0" w:space="0" w:color="auto"/>
        <w:bottom w:val="none" w:sz="0" w:space="0" w:color="auto"/>
        <w:right w:val="none" w:sz="0" w:space="0" w:color="auto"/>
      </w:divBdr>
    </w:div>
    <w:div w:id="1347514351">
      <w:bodyDiv w:val="1"/>
      <w:marLeft w:val="0"/>
      <w:marRight w:val="0"/>
      <w:marTop w:val="0"/>
      <w:marBottom w:val="0"/>
      <w:divBdr>
        <w:top w:val="none" w:sz="0" w:space="0" w:color="auto"/>
        <w:left w:val="none" w:sz="0" w:space="0" w:color="auto"/>
        <w:bottom w:val="none" w:sz="0" w:space="0" w:color="auto"/>
        <w:right w:val="none" w:sz="0" w:space="0" w:color="auto"/>
      </w:divBdr>
    </w:div>
    <w:div w:id="1365516147">
      <w:bodyDiv w:val="1"/>
      <w:marLeft w:val="0"/>
      <w:marRight w:val="0"/>
      <w:marTop w:val="0"/>
      <w:marBottom w:val="0"/>
      <w:divBdr>
        <w:top w:val="none" w:sz="0" w:space="0" w:color="auto"/>
        <w:left w:val="none" w:sz="0" w:space="0" w:color="auto"/>
        <w:bottom w:val="none" w:sz="0" w:space="0" w:color="auto"/>
        <w:right w:val="none" w:sz="0" w:space="0" w:color="auto"/>
      </w:divBdr>
    </w:div>
    <w:div w:id="1429278921">
      <w:bodyDiv w:val="1"/>
      <w:marLeft w:val="0"/>
      <w:marRight w:val="0"/>
      <w:marTop w:val="0"/>
      <w:marBottom w:val="0"/>
      <w:divBdr>
        <w:top w:val="none" w:sz="0" w:space="0" w:color="auto"/>
        <w:left w:val="none" w:sz="0" w:space="0" w:color="auto"/>
        <w:bottom w:val="none" w:sz="0" w:space="0" w:color="auto"/>
        <w:right w:val="none" w:sz="0" w:space="0" w:color="auto"/>
      </w:divBdr>
    </w:div>
    <w:div w:id="1520585751">
      <w:bodyDiv w:val="1"/>
      <w:marLeft w:val="0"/>
      <w:marRight w:val="0"/>
      <w:marTop w:val="0"/>
      <w:marBottom w:val="0"/>
      <w:divBdr>
        <w:top w:val="none" w:sz="0" w:space="0" w:color="auto"/>
        <w:left w:val="none" w:sz="0" w:space="0" w:color="auto"/>
        <w:bottom w:val="none" w:sz="0" w:space="0" w:color="auto"/>
        <w:right w:val="none" w:sz="0" w:space="0" w:color="auto"/>
      </w:divBdr>
    </w:div>
    <w:div w:id="1561746544">
      <w:bodyDiv w:val="1"/>
      <w:marLeft w:val="0"/>
      <w:marRight w:val="0"/>
      <w:marTop w:val="0"/>
      <w:marBottom w:val="0"/>
      <w:divBdr>
        <w:top w:val="none" w:sz="0" w:space="0" w:color="auto"/>
        <w:left w:val="none" w:sz="0" w:space="0" w:color="auto"/>
        <w:bottom w:val="none" w:sz="0" w:space="0" w:color="auto"/>
        <w:right w:val="none" w:sz="0" w:space="0" w:color="auto"/>
      </w:divBdr>
    </w:div>
    <w:div w:id="1592008916">
      <w:bodyDiv w:val="1"/>
      <w:marLeft w:val="0"/>
      <w:marRight w:val="0"/>
      <w:marTop w:val="0"/>
      <w:marBottom w:val="0"/>
      <w:divBdr>
        <w:top w:val="none" w:sz="0" w:space="0" w:color="auto"/>
        <w:left w:val="none" w:sz="0" w:space="0" w:color="auto"/>
        <w:bottom w:val="none" w:sz="0" w:space="0" w:color="auto"/>
        <w:right w:val="none" w:sz="0" w:space="0" w:color="auto"/>
      </w:divBdr>
    </w:div>
    <w:div w:id="1597057816">
      <w:bodyDiv w:val="1"/>
      <w:marLeft w:val="0"/>
      <w:marRight w:val="0"/>
      <w:marTop w:val="0"/>
      <w:marBottom w:val="0"/>
      <w:divBdr>
        <w:top w:val="none" w:sz="0" w:space="0" w:color="auto"/>
        <w:left w:val="none" w:sz="0" w:space="0" w:color="auto"/>
        <w:bottom w:val="none" w:sz="0" w:space="0" w:color="auto"/>
        <w:right w:val="none" w:sz="0" w:space="0" w:color="auto"/>
      </w:divBdr>
    </w:div>
    <w:div w:id="1649743086">
      <w:bodyDiv w:val="1"/>
      <w:marLeft w:val="0"/>
      <w:marRight w:val="0"/>
      <w:marTop w:val="0"/>
      <w:marBottom w:val="0"/>
      <w:divBdr>
        <w:top w:val="none" w:sz="0" w:space="0" w:color="auto"/>
        <w:left w:val="none" w:sz="0" w:space="0" w:color="auto"/>
        <w:bottom w:val="none" w:sz="0" w:space="0" w:color="auto"/>
        <w:right w:val="none" w:sz="0" w:space="0" w:color="auto"/>
      </w:divBdr>
    </w:div>
    <w:div w:id="1664431611">
      <w:bodyDiv w:val="1"/>
      <w:marLeft w:val="0"/>
      <w:marRight w:val="0"/>
      <w:marTop w:val="0"/>
      <w:marBottom w:val="0"/>
      <w:divBdr>
        <w:top w:val="none" w:sz="0" w:space="0" w:color="auto"/>
        <w:left w:val="none" w:sz="0" w:space="0" w:color="auto"/>
        <w:bottom w:val="none" w:sz="0" w:space="0" w:color="auto"/>
        <w:right w:val="none" w:sz="0" w:space="0" w:color="auto"/>
      </w:divBdr>
    </w:div>
    <w:div w:id="1677611123">
      <w:bodyDiv w:val="1"/>
      <w:marLeft w:val="0"/>
      <w:marRight w:val="0"/>
      <w:marTop w:val="0"/>
      <w:marBottom w:val="0"/>
      <w:divBdr>
        <w:top w:val="none" w:sz="0" w:space="0" w:color="auto"/>
        <w:left w:val="none" w:sz="0" w:space="0" w:color="auto"/>
        <w:bottom w:val="none" w:sz="0" w:space="0" w:color="auto"/>
        <w:right w:val="none" w:sz="0" w:space="0" w:color="auto"/>
      </w:divBdr>
    </w:div>
    <w:div w:id="1760129630">
      <w:bodyDiv w:val="1"/>
      <w:marLeft w:val="0"/>
      <w:marRight w:val="0"/>
      <w:marTop w:val="0"/>
      <w:marBottom w:val="0"/>
      <w:divBdr>
        <w:top w:val="none" w:sz="0" w:space="0" w:color="auto"/>
        <w:left w:val="none" w:sz="0" w:space="0" w:color="auto"/>
        <w:bottom w:val="none" w:sz="0" w:space="0" w:color="auto"/>
        <w:right w:val="none" w:sz="0" w:space="0" w:color="auto"/>
      </w:divBdr>
    </w:div>
    <w:div w:id="1856000032">
      <w:bodyDiv w:val="1"/>
      <w:marLeft w:val="0"/>
      <w:marRight w:val="0"/>
      <w:marTop w:val="0"/>
      <w:marBottom w:val="0"/>
      <w:divBdr>
        <w:top w:val="none" w:sz="0" w:space="0" w:color="auto"/>
        <w:left w:val="none" w:sz="0" w:space="0" w:color="auto"/>
        <w:bottom w:val="none" w:sz="0" w:space="0" w:color="auto"/>
        <w:right w:val="none" w:sz="0" w:space="0" w:color="auto"/>
      </w:divBdr>
    </w:div>
    <w:div w:id="1936940104">
      <w:bodyDiv w:val="1"/>
      <w:marLeft w:val="0"/>
      <w:marRight w:val="0"/>
      <w:marTop w:val="0"/>
      <w:marBottom w:val="0"/>
      <w:divBdr>
        <w:top w:val="none" w:sz="0" w:space="0" w:color="auto"/>
        <w:left w:val="none" w:sz="0" w:space="0" w:color="auto"/>
        <w:bottom w:val="none" w:sz="0" w:space="0" w:color="auto"/>
        <w:right w:val="none" w:sz="0" w:space="0" w:color="auto"/>
      </w:divBdr>
    </w:div>
    <w:div w:id="1948586258">
      <w:bodyDiv w:val="1"/>
      <w:marLeft w:val="0"/>
      <w:marRight w:val="0"/>
      <w:marTop w:val="0"/>
      <w:marBottom w:val="0"/>
      <w:divBdr>
        <w:top w:val="none" w:sz="0" w:space="0" w:color="auto"/>
        <w:left w:val="none" w:sz="0" w:space="0" w:color="auto"/>
        <w:bottom w:val="none" w:sz="0" w:space="0" w:color="auto"/>
        <w:right w:val="none" w:sz="0" w:space="0" w:color="auto"/>
      </w:divBdr>
    </w:div>
    <w:div w:id="1988513754">
      <w:bodyDiv w:val="1"/>
      <w:marLeft w:val="0"/>
      <w:marRight w:val="0"/>
      <w:marTop w:val="0"/>
      <w:marBottom w:val="0"/>
      <w:divBdr>
        <w:top w:val="none" w:sz="0" w:space="0" w:color="auto"/>
        <w:left w:val="none" w:sz="0" w:space="0" w:color="auto"/>
        <w:bottom w:val="none" w:sz="0" w:space="0" w:color="auto"/>
        <w:right w:val="none" w:sz="0" w:space="0" w:color="auto"/>
      </w:divBdr>
    </w:div>
    <w:div w:id="2006858802">
      <w:bodyDiv w:val="1"/>
      <w:marLeft w:val="0"/>
      <w:marRight w:val="0"/>
      <w:marTop w:val="0"/>
      <w:marBottom w:val="0"/>
      <w:divBdr>
        <w:top w:val="none" w:sz="0" w:space="0" w:color="auto"/>
        <w:left w:val="none" w:sz="0" w:space="0" w:color="auto"/>
        <w:bottom w:val="none" w:sz="0" w:space="0" w:color="auto"/>
        <w:right w:val="none" w:sz="0" w:space="0" w:color="auto"/>
      </w:divBdr>
    </w:div>
    <w:div w:id="2078042744">
      <w:bodyDiv w:val="1"/>
      <w:marLeft w:val="0"/>
      <w:marRight w:val="0"/>
      <w:marTop w:val="0"/>
      <w:marBottom w:val="0"/>
      <w:divBdr>
        <w:top w:val="none" w:sz="0" w:space="0" w:color="auto"/>
        <w:left w:val="none" w:sz="0" w:space="0" w:color="auto"/>
        <w:bottom w:val="none" w:sz="0" w:space="0" w:color="auto"/>
        <w:right w:val="none" w:sz="0" w:space="0" w:color="auto"/>
      </w:divBdr>
    </w:div>
    <w:div w:id="2085104258">
      <w:bodyDiv w:val="1"/>
      <w:marLeft w:val="0"/>
      <w:marRight w:val="0"/>
      <w:marTop w:val="0"/>
      <w:marBottom w:val="0"/>
      <w:divBdr>
        <w:top w:val="none" w:sz="0" w:space="0" w:color="auto"/>
        <w:left w:val="none" w:sz="0" w:space="0" w:color="auto"/>
        <w:bottom w:val="none" w:sz="0" w:space="0" w:color="auto"/>
        <w:right w:val="none" w:sz="0" w:space="0" w:color="auto"/>
      </w:divBdr>
    </w:div>
    <w:div w:id="2125691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1161/CIRCULATIONAHA.117.027844" TargetMode="External"/><Relationship Id="rId299" Type="http://schemas.openxmlformats.org/officeDocument/2006/relationships/hyperlink" Target="https://doi.org/10.1161/01.ATV.0000204334.48195.6a" TargetMode="External"/><Relationship Id="rId21" Type="http://schemas.openxmlformats.org/officeDocument/2006/relationships/hyperlink" Target="https://doi.org/10.3389/fphar.2018.00459" TargetMode="External"/><Relationship Id="rId63" Type="http://schemas.openxmlformats.org/officeDocument/2006/relationships/hyperlink" Target="https://doi.org/10.1016/j.bbrc.2018.12.140" TargetMode="External"/><Relationship Id="rId159" Type="http://schemas.openxmlformats.org/officeDocument/2006/relationships/hyperlink" Target="https://doi.org/10.4049/jimmunol.1800733" TargetMode="External"/><Relationship Id="rId324" Type="http://schemas.openxmlformats.org/officeDocument/2006/relationships/hyperlink" Target="https://www.ncbi.nlm.nih.gov/pubmed/25970609" TargetMode="External"/><Relationship Id="rId366" Type="http://schemas.openxmlformats.org/officeDocument/2006/relationships/hyperlink" Target="https://www.ncbi.nlm.nih.gov/pubmed/26842698" TargetMode="External"/><Relationship Id="rId531" Type="http://schemas.openxmlformats.org/officeDocument/2006/relationships/hyperlink" Target="https://doi.org/10.1007/s11010-020-03793-9" TargetMode="External"/><Relationship Id="rId170" Type="http://schemas.openxmlformats.org/officeDocument/2006/relationships/hyperlink" Target="https://www.ncbi.nlm.nih.gov/pubmed/24663808" TargetMode="External"/><Relationship Id="rId226" Type="http://schemas.openxmlformats.org/officeDocument/2006/relationships/hyperlink" Target="https://www.ncbi.nlm.nih.gov/pubmed/31212314" TargetMode="External"/><Relationship Id="rId433" Type="http://schemas.openxmlformats.org/officeDocument/2006/relationships/hyperlink" Target="https://doi.org/10.1007/s12192-012-0328-4" TargetMode="External"/><Relationship Id="rId268" Type="http://schemas.openxmlformats.org/officeDocument/2006/relationships/hyperlink" Target="https://www.ncbi.nlm.nih.gov/pubmed/32227235" TargetMode="External"/><Relationship Id="rId475" Type="http://schemas.openxmlformats.org/officeDocument/2006/relationships/hyperlink" Target="https://doi.org/10.1016/j.clim.2013.03.002" TargetMode="External"/><Relationship Id="rId32" Type="http://schemas.openxmlformats.org/officeDocument/2006/relationships/hyperlink" Target="https://www.ncbi.nlm.nih.gov/pubmed/29923152" TargetMode="External"/><Relationship Id="rId74" Type="http://schemas.openxmlformats.org/officeDocument/2006/relationships/hyperlink" Target="https://www.ncbi.nlm.nih.gov/pubmed/25921305" TargetMode="External"/><Relationship Id="rId128" Type="http://schemas.openxmlformats.org/officeDocument/2006/relationships/hyperlink" Target="https://www.ncbi.nlm.nih.gov/pubmed/31119852" TargetMode="External"/><Relationship Id="rId335" Type="http://schemas.openxmlformats.org/officeDocument/2006/relationships/hyperlink" Target="https://doi.org/10.1016/j.atherosclerosis.2010.02.023" TargetMode="External"/><Relationship Id="rId377" Type="http://schemas.openxmlformats.org/officeDocument/2006/relationships/hyperlink" Target="https://doi.org/10.1016/j.cyto.2004.12.001" TargetMode="External"/><Relationship Id="rId500" Type="http://schemas.openxmlformats.org/officeDocument/2006/relationships/hyperlink" Target="https://pubmed.ncbi.nlm.nih.gov/12392760" TargetMode="External"/><Relationship Id="rId542" Type="http://schemas.openxmlformats.org/officeDocument/2006/relationships/fontTable" Target="fontTable.xml"/><Relationship Id="rId5" Type="http://schemas.openxmlformats.org/officeDocument/2006/relationships/footnotes" Target="footnotes.xml"/><Relationship Id="rId181" Type="http://schemas.openxmlformats.org/officeDocument/2006/relationships/hyperlink" Target="https://doi.org/10.1016/j.atherosclerosis.2004.05.027" TargetMode="External"/><Relationship Id="rId237" Type="http://schemas.openxmlformats.org/officeDocument/2006/relationships/hyperlink" Target="https://doi.org/10.1111/jcmm.14341" TargetMode="External"/><Relationship Id="rId402" Type="http://schemas.openxmlformats.org/officeDocument/2006/relationships/hyperlink" Target="https://www.ncbi.nlm.nih.gov/pubmed/22503546" TargetMode="External"/><Relationship Id="rId279" Type="http://schemas.openxmlformats.org/officeDocument/2006/relationships/hyperlink" Target="https://doi.org/10.1159/000430303" TargetMode="External"/><Relationship Id="rId444" Type="http://schemas.openxmlformats.org/officeDocument/2006/relationships/hyperlink" Target="https://www.ncbi.nlm.nih.gov/pubmed/23440385" TargetMode="External"/><Relationship Id="rId486" Type="http://schemas.openxmlformats.org/officeDocument/2006/relationships/hyperlink" Target="https://www.ncbi.nlm.nih.gov/pubmed/21549101" TargetMode="External"/><Relationship Id="rId43" Type="http://schemas.openxmlformats.org/officeDocument/2006/relationships/hyperlink" Target="https://doi.org/10.3390/antiox8050112" TargetMode="External"/><Relationship Id="rId139" Type="http://schemas.openxmlformats.org/officeDocument/2006/relationships/hyperlink" Target="https://doi.org/10.1523/JNEUROSCI.2942-18.2019" TargetMode="External"/><Relationship Id="rId290" Type="http://schemas.openxmlformats.org/officeDocument/2006/relationships/hyperlink" Target="https://www.ncbi.nlm.nih.gov/pubmed/29908999" TargetMode="External"/><Relationship Id="rId304" Type="http://schemas.openxmlformats.org/officeDocument/2006/relationships/hyperlink" Target="https://www.ncbi.nlm.nih.gov/pubmed/28882873" TargetMode="External"/><Relationship Id="rId346" Type="http://schemas.openxmlformats.org/officeDocument/2006/relationships/hyperlink" Target="https://pubmed.ncbi.nlm.nih.gov/28357584" TargetMode="External"/><Relationship Id="rId388" Type="http://schemas.openxmlformats.org/officeDocument/2006/relationships/hyperlink" Target="https://www.ncbi.nlm.nih.gov/pubmed/17562358" TargetMode="External"/><Relationship Id="rId511" Type="http://schemas.openxmlformats.org/officeDocument/2006/relationships/hyperlink" Target="https://doi.org/10.1161/ATVBAHA.118.311546" TargetMode="External"/><Relationship Id="rId85" Type="http://schemas.openxmlformats.org/officeDocument/2006/relationships/hyperlink" Target="https://doi.org/10.2174/1573409913666170426153509" TargetMode="External"/><Relationship Id="rId150" Type="http://schemas.openxmlformats.org/officeDocument/2006/relationships/hyperlink" Target="https://www.ncbi.nlm.nih.gov/pubmed/21817094" TargetMode="External"/><Relationship Id="rId192" Type="http://schemas.openxmlformats.org/officeDocument/2006/relationships/hyperlink" Target="https://www.ncbi.nlm.nih.gov/pubmed/29166816" TargetMode="External"/><Relationship Id="rId206" Type="http://schemas.openxmlformats.org/officeDocument/2006/relationships/hyperlink" Target="https://www.ncbi.nlm.nih.gov/pubmed/27595325" TargetMode="External"/><Relationship Id="rId413" Type="http://schemas.openxmlformats.org/officeDocument/2006/relationships/hyperlink" Target="https://doi.org/10.1177/147323001103900220" TargetMode="External"/><Relationship Id="rId248" Type="http://schemas.openxmlformats.org/officeDocument/2006/relationships/hyperlink" Target="https://www.ncbi.nlm.nih.gov/pubmed/29695536" TargetMode="External"/><Relationship Id="rId455" Type="http://schemas.openxmlformats.org/officeDocument/2006/relationships/hyperlink" Target="https://doi.org/10.1161/hq1201.098945" TargetMode="External"/><Relationship Id="rId497" Type="http://schemas.openxmlformats.org/officeDocument/2006/relationships/hyperlink" Target="https://doi.org/10.1016/j.metabol.2013.02.006" TargetMode="External"/><Relationship Id="rId12" Type="http://schemas.openxmlformats.org/officeDocument/2006/relationships/hyperlink" Target="https://www.ncbi.nlm.nih.gov/pubmed/20207035" TargetMode="External"/><Relationship Id="rId108" Type="http://schemas.openxmlformats.org/officeDocument/2006/relationships/hyperlink" Target="https://www.ncbi.nlm.nih.gov/pubmed/28112232" TargetMode="External"/><Relationship Id="rId315" Type="http://schemas.openxmlformats.org/officeDocument/2006/relationships/hyperlink" Target="https://doi.org/10.1016/j.yjmcc.2016.05.007" TargetMode="External"/><Relationship Id="rId357" Type="http://schemas.openxmlformats.org/officeDocument/2006/relationships/hyperlink" Target="https://doi.org/10.1161/ATVBAHA.110.205757" TargetMode="External"/><Relationship Id="rId522" Type="http://schemas.openxmlformats.org/officeDocument/2006/relationships/hyperlink" Target="https://www.ncbi.nlm.nih.gov/pubmed/26310581" TargetMode="External"/><Relationship Id="rId54" Type="http://schemas.openxmlformats.org/officeDocument/2006/relationships/hyperlink" Target="https://www.ncbi.nlm.nih.gov/pubmed/27587433" TargetMode="External"/><Relationship Id="rId96" Type="http://schemas.openxmlformats.org/officeDocument/2006/relationships/hyperlink" Target="https://www.ncbi.nlm.nih.gov/pubmed/30630636" TargetMode="External"/><Relationship Id="rId161" Type="http://schemas.openxmlformats.org/officeDocument/2006/relationships/hyperlink" Target="https://doi.org/10.1096/fj.201700235R" TargetMode="External"/><Relationship Id="rId217" Type="http://schemas.openxmlformats.org/officeDocument/2006/relationships/hyperlink" Target="https://doi.org/10.1093/cvr/cvt033" TargetMode="External"/><Relationship Id="rId399" Type="http://schemas.openxmlformats.org/officeDocument/2006/relationships/hyperlink" Target="https://doi.org/10.1016/j.cmet.2018.05.027" TargetMode="External"/><Relationship Id="rId259" Type="http://schemas.openxmlformats.org/officeDocument/2006/relationships/hyperlink" Target="https://doi.org/10.1038/s41467-018-05491-z" TargetMode="External"/><Relationship Id="rId424" Type="http://schemas.openxmlformats.org/officeDocument/2006/relationships/hyperlink" Target="https://www.ncbi.nlm.nih.gov/pubmed/31372457" TargetMode="External"/><Relationship Id="rId466" Type="http://schemas.openxmlformats.org/officeDocument/2006/relationships/hyperlink" Target="https://www.ncbi.nlm.nih.gov/pubmed/30587002" TargetMode="External"/><Relationship Id="rId23" Type="http://schemas.openxmlformats.org/officeDocument/2006/relationships/hyperlink" Target="https://doi.org/10.1007/s00011-019-01248-6" TargetMode="External"/><Relationship Id="rId119" Type="http://schemas.openxmlformats.org/officeDocument/2006/relationships/hyperlink" Target="https://doi.org/10.1161/ATVBAHA.109.184663" TargetMode="External"/><Relationship Id="rId270" Type="http://schemas.openxmlformats.org/officeDocument/2006/relationships/hyperlink" Target="https://www.ncbi.nlm.nih.gov/pubmed/30996006" TargetMode="External"/><Relationship Id="rId326" Type="http://schemas.openxmlformats.org/officeDocument/2006/relationships/hyperlink" Target="https://www.ncbi.nlm.nih.gov/pubmed/15793583" TargetMode="External"/><Relationship Id="rId533" Type="http://schemas.openxmlformats.org/officeDocument/2006/relationships/hyperlink" Target="https://doi.org/10.5551/jat.45963" TargetMode="External"/><Relationship Id="rId65" Type="http://schemas.openxmlformats.org/officeDocument/2006/relationships/hyperlink" Target="https://doi.org/10.1016/j.omtn.2019.02.028" TargetMode="External"/><Relationship Id="rId130" Type="http://schemas.openxmlformats.org/officeDocument/2006/relationships/hyperlink" Target="https://www.ncbi.nlm.nih.gov/pubmed/21979142" TargetMode="External"/><Relationship Id="rId368" Type="http://schemas.openxmlformats.org/officeDocument/2006/relationships/hyperlink" Target="https://www.ncbi.nlm.nih.gov/pubmed/8881516" TargetMode="External"/><Relationship Id="rId172" Type="http://schemas.openxmlformats.org/officeDocument/2006/relationships/hyperlink" Target="https://www.ncbi.nlm.nih.gov/pubmed/32132319" TargetMode="External"/><Relationship Id="rId228" Type="http://schemas.openxmlformats.org/officeDocument/2006/relationships/hyperlink" Target="https://www.ncbi.nlm.nih.gov/pubmed/28487392" TargetMode="External"/><Relationship Id="rId435" Type="http://schemas.openxmlformats.org/officeDocument/2006/relationships/hyperlink" Target="https://doi.org/10.1016/j.atherosclerosis.2016.10.011" TargetMode="External"/><Relationship Id="rId477" Type="http://schemas.openxmlformats.org/officeDocument/2006/relationships/hyperlink" Target="https://doi.org/10.3389/fimmu.2018.00480" TargetMode="External"/><Relationship Id="rId281" Type="http://schemas.openxmlformats.org/officeDocument/2006/relationships/hyperlink" Target="https://doi.org/10.1093/embo-reports/kve007" TargetMode="External"/><Relationship Id="rId337" Type="http://schemas.openxmlformats.org/officeDocument/2006/relationships/hyperlink" Target="https://doi.org/10.1002/path.2667" TargetMode="External"/><Relationship Id="rId502" Type="http://schemas.openxmlformats.org/officeDocument/2006/relationships/hyperlink" Target="https://www.ncbi.nlm.nih.gov/pubmed/31758542" TargetMode="External"/><Relationship Id="rId34" Type="http://schemas.openxmlformats.org/officeDocument/2006/relationships/hyperlink" Target="https://www.ncbi.nlm.nih.gov/pubmed/18597759" TargetMode="External"/><Relationship Id="rId76" Type="http://schemas.openxmlformats.org/officeDocument/2006/relationships/hyperlink" Target="https://www.ncbi.nlm.nih.gov/pubmed/29499335" TargetMode="External"/><Relationship Id="rId141" Type="http://schemas.openxmlformats.org/officeDocument/2006/relationships/hyperlink" Target="https://doi.org/10.1161/ATVBAHA.114.303922" TargetMode="External"/><Relationship Id="rId379" Type="http://schemas.openxmlformats.org/officeDocument/2006/relationships/hyperlink" Target="https://doi.org/10.1161/CIRCRESAHA.114.303454" TargetMode="External"/><Relationship Id="rId7" Type="http://schemas.openxmlformats.org/officeDocument/2006/relationships/hyperlink" Target="https://doi.org/10.4161/15548627.2014.981789" TargetMode="External"/><Relationship Id="rId183" Type="http://schemas.openxmlformats.org/officeDocument/2006/relationships/hyperlink" Target="https://doi.org/10.1161/ATVBAHA.115.305551" TargetMode="External"/><Relationship Id="rId239" Type="http://schemas.openxmlformats.org/officeDocument/2006/relationships/hyperlink" Target="https://doi.org/10.1007/s11010-013-1751-2" TargetMode="External"/><Relationship Id="rId390" Type="http://schemas.openxmlformats.org/officeDocument/2006/relationships/hyperlink" Target="https://www.ncbi.nlm.nih.gov/pubmed/31618734" TargetMode="External"/><Relationship Id="rId404" Type="http://schemas.openxmlformats.org/officeDocument/2006/relationships/hyperlink" Target="https://www.ncbi.nlm.nih.gov/pubmed/32276737" TargetMode="External"/><Relationship Id="rId446" Type="http://schemas.openxmlformats.org/officeDocument/2006/relationships/hyperlink" Target="https://www.ncbi.nlm.nih.gov/pubmed/23599441" TargetMode="External"/><Relationship Id="rId250" Type="http://schemas.openxmlformats.org/officeDocument/2006/relationships/hyperlink" Target="https://www.ncbi.nlm.nih.gov/pubmed/21965021" TargetMode="External"/><Relationship Id="rId292" Type="http://schemas.openxmlformats.org/officeDocument/2006/relationships/hyperlink" Target="https://www.ncbi.nlm.nih.gov/pubmed/23152477" TargetMode="External"/><Relationship Id="rId306" Type="http://schemas.openxmlformats.org/officeDocument/2006/relationships/hyperlink" Target="https://www.ncbi.nlm.nih.gov/pubmed/30003117" TargetMode="External"/><Relationship Id="rId488" Type="http://schemas.openxmlformats.org/officeDocument/2006/relationships/hyperlink" Target="https://www.ncbi.nlm.nih.gov/pubmed/24098343" TargetMode="External"/><Relationship Id="rId45" Type="http://schemas.openxmlformats.org/officeDocument/2006/relationships/hyperlink" Target="https://doi.org/10.1038/srep18764" TargetMode="External"/><Relationship Id="rId87" Type="http://schemas.openxmlformats.org/officeDocument/2006/relationships/hyperlink" Target="https://doi.org/10.1016/j.jnutbio.2007.06.012" TargetMode="External"/><Relationship Id="rId110" Type="http://schemas.openxmlformats.org/officeDocument/2006/relationships/hyperlink" Target="https://www.ncbi.nlm.nih.gov/pubmed/29695588" TargetMode="External"/><Relationship Id="rId348" Type="http://schemas.openxmlformats.org/officeDocument/2006/relationships/hyperlink" Target="https://www.ncbi.nlm.nih.gov/pubmed/28104528" TargetMode="External"/><Relationship Id="rId513" Type="http://schemas.openxmlformats.org/officeDocument/2006/relationships/hyperlink" Target="https://doi.org/10.1016/j.atherosclerosis.2016.05.001" TargetMode="External"/><Relationship Id="rId152" Type="http://schemas.openxmlformats.org/officeDocument/2006/relationships/hyperlink" Target="https://www.ncbi.nlm.nih.gov/pubmed/29350881" TargetMode="External"/><Relationship Id="rId194" Type="http://schemas.openxmlformats.org/officeDocument/2006/relationships/hyperlink" Target="https://www.ncbi.nlm.nih.gov/pubmed/16873729" TargetMode="External"/><Relationship Id="rId208" Type="http://schemas.openxmlformats.org/officeDocument/2006/relationships/hyperlink" Target="https://www.ncbi.nlm.nih.gov/pubmed/19952000" TargetMode="External"/><Relationship Id="rId415" Type="http://schemas.openxmlformats.org/officeDocument/2006/relationships/hyperlink" Target="https://doi.org/10.1074/jbc.M109.040899" TargetMode="External"/><Relationship Id="rId457" Type="http://schemas.openxmlformats.org/officeDocument/2006/relationships/hyperlink" Target="https://doi.org/10.1016/j.semarthrit.2015.02.001" TargetMode="External"/><Relationship Id="rId261" Type="http://schemas.openxmlformats.org/officeDocument/2006/relationships/hyperlink" Target="https://doi.org/10.1073/pnas.1320862110" TargetMode="External"/><Relationship Id="rId499" Type="http://schemas.openxmlformats.org/officeDocument/2006/relationships/hyperlink" Target="https://doi.org/10.1016/S0945-053X(02)00053-7" TargetMode="External"/><Relationship Id="rId14" Type="http://schemas.openxmlformats.org/officeDocument/2006/relationships/hyperlink" Target="https://www.ncbi.nlm.nih.gov/pubmed/30615506" TargetMode="External"/><Relationship Id="rId56" Type="http://schemas.openxmlformats.org/officeDocument/2006/relationships/hyperlink" Target="https://www.ncbi.nlm.nih.gov/pubmed/29508616" TargetMode="External"/><Relationship Id="rId317" Type="http://schemas.openxmlformats.org/officeDocument/2006/relationships/hyperlink" Target="https://doi.org/10.1161/CIRCRESAHA.108.188078" TargetMode="External"/><Relationship Id="rId359" Type="http://schemas.openxmlformats.org/officeDocument/2006/relationships/hyperlink" Target="https://doi.org/10.1161/ATVBAHA.116.307871" TargetMode="External"/><Relationship Id="rId524" Type="http://schemas.openxmlformats.org/officeDocument/2006/relationships/hyperlink" Target="https://www.ncbi.nlm.nih.gov/pubmed/22622053" TargetMode="External"/><Relationship Id="rId98" Type="http://schemas.openxmlformats.org/officeDocument/2006/relationships/hyperlink" Target="https://www.ncbi.nlm.nih.gov/pubmed/17053192" TargetMode="External"/><Relationship Id="rId121" Type="http://schemas.openxmlformats.org/officeDocument/2006/relationships/hyperlink" Target="https://doi.org/10.1016/j.vph.2014.11.008" TargetMode="External"/><Relationship Id="rId163" Type="http://schemas.openxmlformats.org/officeDocument/2006/relationships/hyperlink" Target="https://doi.org/10.1038/aps.2013.92" TargetMode="External"/><Relationship Id="rId219" Type="http://schemas.openxmlformats.org/officeDocument/2006/relationships/hyperlink" Target="https://doi.org/10.1155/2018/1695782" TargetMode="External"/><Relationship Id="rId370" Type="http://schemas.openxmlformats.org/officeDocument/2006/relationships/hyperlink" Target="https://www.ncbi.nlm.nih.gov/pubmed/29905534" TargetMode="External"/><Relationship Id="rId426" Type="http://schemas.openxmlformats.org/officeDocument/2006/relationships/hyperlink" Target="https://www.ncbi.nlm.nih.gov/pubmed/31659325" TargetMode="External"/><Relationship Id="rId230" Type="http://schemas.openxmlformats.org/officeDocument/2006/relationships/hyperlink" Target="https://www.ncbi.nlm.nih.gov/pubmed/28282560" TargetMode="External"/><Relationship Id="rId468" Type="http://schemas.openxmlformats.org/officeDocument/2006/relationships/hyperlink" Target="https://www.ncbi.nlm.nih.gov/pubmed/21804111" TargetMode="External"/><Relationship Id="rId25" Type="http://schemas.openxmlformats.org/officeDocument/2006/relationships/hyperlink" Target="https://doi.org/10.1161/STROKEAHA.118.022256" TargetMode="External"/><Relationship Id="rId67" Type="http://schemas.openxmlformats.org/officeDocument/2006/relationships/hyperlink" Target="https://doi.org/10.1159/000506488" TargetMode="External"/><Relationship Id="rId272" Type="http://schemas.openxmlformats.org/officeDocument/2006/relationships/hyperlink" Target="https://www.ncbi.nlm.nih.gov/pubmed/12667965" TargetMode="External"/><Relationship Id="rId328" Type="http://schemas.openxmlformats.org/officeDocument/2006/relationships/hyperlink" Target="https://www.ncbi.nlm.nih.gov/pubmed/21288647" TargetMode="External"/><Relationship Id="rId535" Type="http://schemas.openxmlformats.org/officeDocument/2006/relationships/hyperlink" Target="https://doi.org/10.1111/jcmm.15173" TargetMode="External"/><Relationship Id="rId88" Type="http://schemas.openxmlformats.org/officeDocument/2006/relationships/hyperlink" Target="https://www.ncbi.nlm.nih.gov/pubmed/18155511" TargetMode="External"/><Relationship Id="rId111" Type="http://schemas.openxmlformats.org/officeDocument/2006/relationships/hyperlink" Target="https://doi.org/10.1161/ATVBAHA.117.310467" TargetMode="External"/><Relationship Id="rId132" Type="http://schemas.openxmlformats.org/officeDocument/2006/relationships/hyperlink" Target="https://www.ncbi.nlm.nih.gov/pubmed/31367250" TargetMode="External"/><Relationship Id="rId153" Type="http://schemas.openxmlformats.org/officeDocument/2006/relationships/hyperlink" Target="https://doi.org/10.1189/jlb.0808497" TargetMode="External"/><Relationship Id="rId174" Type="http://schemas.openxmlformats.org/officeDocument/2006/relationships/hyperlink" Target="https://www.ncbi.nlm.nih.gov/pubmed/27864310" TargetMode="External"/><Relationship Id="rId195" Type="http://schemas.openxmlformats.org/officeDocument/2006/relationships/hyperlink" Target="https://doi.org/10.1371/journal.pone.0115176" TargetMode="External"/><Relationship Id="rId209" Type="http://schemas.openxmlformats.org/officeDocument/2006/relationships/hyperlink" Target="https://doi.org/10.1536/ihj.49.313" TargetMode="External"/><Relationship Id="rId360" Type="http://schemas.openxmlformats.org/officeDocument/2006/relationships/hyperlink" Target="https://www.ncbi.nlm.nih.gov/pubmed/27758765" TargetMode="External"/><Relationship Id="rId381" Type="http://schemas.openxmlformats.org/officeDocument/2006/relationships/hyperlink" Target="https://doi.org/10.1016/j.toxlet.2019.09.005" TargetMode="External"/><Relationship Id="rId416" Type="http://schemas.openxmlformats.org/officeDocument/2006/relationships/hyperlink" Target="https://www.ncbi.nlm.nih.gov/pubmed/19776020" TargetMode="External"/><Relationship Id="rId220" Type="http://schemas.openxmlformats.org/officeDocument/2006/relationships/hyperlink" Target="https://www.ncbi.nlm.nih.gov/pubmed/29849817" TargetMode="External"/><Relationship Id="rId241" Type="http://schemas.openxmlformats.org/officeDocument/2006/relationships/hyperlink" Target="https://doi.org/10.1016/j.cmet.2010.06.008" TargetMode="External"/><Relationship Id="rId437" Type="http://schemas.openxmlformats.org/officeDocument/2006/relationships/hyperlink" Target="https://doi.org/10.1016/j.jacc.2017.10.084" TargetMode="External"/><Relationship Id="rId458" Type="http://schemas.openxmlformats.org/officeDocument/2006/relationships/hyperlink" Target="https://www.ncbi.nlm.nih.gov/pubmed/25798875" TargetMode="External"/><Relationship Id="rId479" Type="http://schemas.openxmlformats.org/officeDocument/2006/relationships/hyperlink" Target="https://doi.org/10.1161/JAHA.115.002663" TargetMode="External"/><Relationship Id="rId15" Type="http://schemas.openxmlformats.org/officeDocument/2006/relationships/hyperlink" Target="https://doi.org/10.1080/15548627.2017.1327942" TargetMode="External"/><Relationship Id="rId36" Type="http://schemas.openxmlformats.org/officeDocument/2006/relationships/hyperlink" Target="https://www.ncbi.nlm.nih.gov/pubmed/21868708" TargetMode="External"/><Relationship Id="rId57" Type="http://schemas.openxmlformats.org/officeDocument/2006/relationships/hyperlink" Target="https://doi.org/10.1002/jcp.22022" TargetMode="External"/><Relationship Id="rId262" Type="http://schemas.openxmlformats.org/officeDocument/2006/relationships/hyperlink" Target="https://www.ncbi.nlm.nih.gov/pubmed/24324141" TargetMode="External"/><Relationship Id="rId283" Type="http://schemas.openxmlformats.org/officeDocument/2006/relationships/hyperlink" Target="https://doi.org/10.1093/cvr/cvv109" TargetMode="External"/><Relationship Id="rId318" Type="http://schemas.openxmlformats.org/officeDocument/2006/relationships/hyperlink" Target="https://www.ncbi.nlm.nih.gov/pubmed/19023130" TargetMode="External"/><Relationship Id="rId339" Type="http://schemas.openxmlformats.org/officeDocument/2006/relationships/hyperlink" Target="https://doi.org/10.1038/s41588-019-0470-3" TargetMode="External"/><Relationship Id="rId490" Type="http://schemas.openxmlformats.org/officeDocument/2006/relationships/hyperlink" Target="https://www.ncbi.nlm.nih.gov/pubmed/11581135" TargetMode="External"/><Relationship Id="rId504" Type="http://schemas.openxmlformats.org/officeDocument/2006/relationships/hyperlink" Target="https://www.ncbi.nlm.nih.gov/pubmed/17606262" TargetMode="External"/><Relationship Id="rId525" Type="http://schemas.openxmlformats.org/officeDocument/2006/relationships/hyperlink" Target="https://doi.org/10.1161/CIRCULATIONAHA.120.045981" TargetMode="External"/><Relationship Id="rId78" Type="http://schemas.openxmlformats.org/officeDocument/2006/relationships/hyperlink" Target="https://www.ncbi.nlm.nih.gov/pubmed/21562922" TargetMode="External"/><Relationship Id="rId99" Type="http://schemas.openxmlformats.org/officeDocument/2006/relationships/hyperlink" Target="https://doi.org/10.1016/j.ejphar.2018.02.042" TargetMode="External"/><Relationship Id="rId101" Type="http://schemas.openxmlformats.org/officeDocument/2006/relationships/hyperlink" Target="https://doi.org/10.1093/cvr/cvy202" TargetMode="External"/><Relationship Id="rId122" Type="http://schemas.openxmlformats.org/officeDocument/2006/relationships/hyperlink" Target="https://www.ncbi.nlm.nih.gov/pubmed/25849951" TargetMode="External"/><Relationship Id="rId143" Type="http://schemas.openxmlformats.org/officeDocument/2006/relationships/hyperlink" Target="https://doi.org/10.1038/ncomms12859" TargetMode="External"/><Relationship Id="rId164" Type="http://schemas.openxmlformats.org/officeDocument/2006/relationships/hyperlink" Target="https://www.ncbi.nlm.nih.gov/pubmed/23974513" TargetMode="External"/><Relationship Id="rId185" Type="http://schemas.openxmlformats.org/officeDocument/2006/relationships/hyperlink" Target="https://doi.org/10.3389/fphar.2018.00312" TargetMode="External"/><Relationship Id="rId350" Type="http://schemas.openxmlformats.org/officeDocument/2006/relationships/hyperlink" Target="https://www.ncbi.nlm.nih.gov/pubmed/31150053" TargetMode="External"/><Relationship Id="rId371" Type="http://schemas.openxmlformats.org/officeDocument/2006/relationships/hyperlink" Target="https://doi.org/10.3791/57289" TargetMode="External"/><Relationship Id="rId406" Type="http://schemas.openxmlformats.org/officeDocument/2006/relationships/hyperlink" Target="https://www.ncbi.nlm.nih.gov/pubmed/27079878" TargetMode="External"/><Relationship Id="rId9" Type="http://schemas.openxmlformats.org/officeDocument/2006/relationships/hyperlink" Target="https://doi.org/10.1080/15548627.2020.1741202" TargetMode="External"/><Relationship Id="rId210" Type="http://schemas.openxmlformats.org/officeDocument/2006/relationships/hyperlink" Target="https://www.ncbi.nlm.nih.gov/pubmed/18612189" TargetMode="External"/><Relationship Id="rId392" Type="http://schemas.openxmlformats.org/officeDocument/2006/relationships/hyperlink" Target="https://www.ncbi.nlm.nih.gov/pubmed/31797978" TargetMode="External"/><Relationship Id="rId427" Type="http://schemas.openxmlformats.org/officeDocument/2006/relationships/hyperlink" Target="https://doi.org/10.18632/aging.100975" TargetMode="External"/><Relationship Id="rId448" Type="http://schemas.openxmlformats.org/officeDocument/2006/relationships/hyperlink" Target="https://www.ncbi.nlm.nih.gov/pubmed/20504763" TargetMode="External"/><Relationship Id="rId469" Type="http://schemas.openxmlformats.org/officeDocument/2006/relationships/hyperlink" Target="https://doi.org/10.1161/CIRCRESAHA.107.172833" TargetMode="External"/><Relationship Id="rId26" Type="http://schemas.openxmlformats.org/officeDocument/2006/relationships/hyperlink" Target="https://www.ncbi.nlm.nih.gov/pubmed/30354985" TargetMode="External"/><Relationship Id="rId231" Type="http://schemas.openxmlformats.org/officeDocument/2006/relationships/hyperlink" Target="https://doi.org/10.1161/CIRCRESAHA.111.253377" TargetMode="External"/><Relationship Id="rId252" Type="http://schemas.openxmlformats.org/officeDocument/2006/relationships/hyperlink" Target="https://www.ncbi.nlm.nih.gov/pubmed/26334877" TargetMode="External"/><Relationship Id="rId273" Type="http://schemas.openxmlformats.org/officeDocument/2006/relationships/hyperlink" Target="https://doi.org/10.18632/aging.100004" TargetMode="External"/><Relationship Id="rId294" Type="http://schemas.openxmlformats.org/officeDocument/2006/relationships/hyperlink" Target="https://www.ncbi.nlm.nih.gov/pubmed/16365196" TargetMode="External"/><Relationship Id="rId308" Type="http://schemas.openxmlformats.org/officeDocument/2006/relationships/hyperlink" Target="https://www.ncbi.nlm.nih.gov/pubmed/27102965" TargetMode="External"/><Relationship Id="rId329" Type="http://schemas.openxmlformats.org/officeDocument/2006/relationships/hyperlink" Target="https://doi.org/10.1111/imcb.1028" TargetMode="External"/><Relationship Id="rId480" Type="http://schemas.openxmlformats.org/officeDocument/2006/relationships/hyperlink" Target="https://www.ncbi.nlm.nih.gov/pubmed/27091181" TargetMode="External"/><Relationship Id="rId515" Type="http://schemas.openxmlformats.org/officeDocument/2006/relationships/hyperlink" Target="https://doi.org/10.1161/ATVBAHA.118.311212" TargetMode="External"/><Relationship Id="rId536" Type="http://schemas.openxmlformats.org/officeDocument/2006/relationships/hyperlink" Target="https://www.ncbi.nlm.nih.gov/pubmed/32220004" TargetMode="External"/><Relationship Id="rId47" Type="http://schemas.openxmlformats.org/officeDocument/2006/relationships/hyperlink" Target="https://doi.org/10.1182/blood-2011-01-326827" TargetMode="External"/><Relationship Id="rId68" Type="http://schemas.openxmlformats.org/officeDocument/2006/relationships/hyperlink" Target="https://www.ncbi.nlm.nih.gov/pubmed/32694250" TargetMode="External"/><Relationship Id="rId89" Type="http://schemas.openxmlformats.org/officeDocument/2006/relationships/hyperlink" Target="https://doi.org/10.1371/journal.pone.0154302" TargetMode="External"/><Relationship Id="rId112" Type="http://schemas.openxmlformats.org/officeDocument/2006/relationships/hyperlink" Target="https://www.ncbi.nlm.nih.gov/pubmed/29599136" TargetMode="External"/><Relationship Id="rId133" Type="http://schemas.openxmlformats.org/officeDocument/2006/relationships/hyperlink" Target="https://doi.org/10.1016/j.atherosclerosis.2011.02.003" TargetMode="External"/><Relationship Id="rId154" Type="http://schemas.openxmlformats.org/officeDocument/2006/relationships/hyperlink" Target="https://www.ncbi.nlm.nih.gov/pubmed/19004987" TargetMode="External"/><Relationship Id="rId175" Type="http://schemas.openxmlformats.org/officeDocument/2006/relationships/hyperlink" Target="https://doi.org/10.1038/s41598-017-00977-0" TargetMode="External"/><Relationship Id="rId340" Type="http://schemas.openxmlformats.org/officeDocument/2006/relationships/hyperlink" Target="https://www.ncbi.nlm.nih.gov/pubmed/31358993" TargetMode="External"/><Relationship Id="rId361" Type="http://schemas.openxmlformats.org/officeDocument/2006/relationships/hyperlink" Target="https://doi.org/10.1007/s00380-017-1065-5" TargetMode="External"/><Relationship Id="rId196" Type="http://schemas.openxmlformats.org/officeDocument/2006/relationships/hyperlink" Target="https://www.ncbi.nlm.nih.gov/pubmed/25503069" TargetMode="External"/><Relationship Id="rId200" Type="http://schemas.openxmlformats.org/officeDocument/2006/relationships/hyperlink" Target="https://www.ncbi.nlm.nih.gov/pubmed/30528667" TargetMode="External"/><Relationship Id="rId382" Type="http://schemas.openxmlformats.org/officeDocument/2006/relationships/hyperlink" Target="https://www.ncbi.nlm.nih.gov/pubmed/31513887" TargetMode="External"/><Relationship Id="rId417" Type="http://schemas.openxmlformats.org/officeDocument/2006/relationships/hyperlink" Target="https://doi.org/10.1172/jci.insight.88628" TargetMode="External"/><Relationship Id="rId438" Type="http://schemas.openxmlformats.org/officeDocument/2006/relationships/hyperlink" Target="https://www.ncbi.nlm.nih.gov/pubmed/29325640" TargetMode="External"/><Relationship Id="rId459" Type="http://schemas.openxmlformats.org/officeDocument/2006/relationships/hyperlink" Target="https://doi.org/10.1161/01.CIR.102.18.2185" TargetMode="External"/><Relationship Id="rId16" Type="http://schemas.openxmlformats.org/officeDocument/2006/relationships/hyperlink" Target="https://www.ncbi.nlm.nih.gov/pubmed/28605287" TargetMode="External"/><Relationship Id="rId221" Type="http://schemas.openxmlformats.org/officeDocument/2006/relationships/hyperlink" Target="https://doi.org/10.1055/s-0037-1616164" TargetMode="External"/><Relationship Id="rId242" Type="http://schemas.openxmlformats.org/officeDocument/2006/relationships/hyperlink" Target="https://www.ncbi.nlm.nih.gov/pubmed/20674859" TargetMode="External"/><Relationship Id="rId263" Type="http://schemas.openxmlformats.org/officeDocument/2006/relationships/hyperlink" Target="https://doi.org/10.1016/j.ophtha.2008.03.021" TargetMode="External"/><Relationship Id="rId284" Type="http://schemas.openxmlformats.org/officeDocument/2006/relationships/hyperlink" Target="https://www.ncbi.nlm.nih.gov/pubmed/25770145" TargetMode="External"/><Relationship Id="rId319" Type="http://schemas.openxmlformats.org/officeDocument/2006/relationships/hyperlink" Target="https://doi.org/10.1002/jcb.28787" TargetMode="External"/><Relationship Id="rId470" Type="http://schemas.openxmlformats.org/officeDocument/2006/relationships/hyperlink" Target="https://www.ncbi.nlm.nih.gov/pubmed/18596265" TargetMode="External"/><Relationship Id="rId491" Type="http://schemas.openxmlformats.org/officeDocument/2006/relationships/hyperlink" Target="https://doi.org/10.1080/21691401.2016.1216858" TargetMode="External"/><Relationship Id="rId505" Type="http://schemas.openxmlformats.org/officeDocument/2006/relationships/hyperlink" Target="https://doi.org/10.1016/j.bbrc.2016.08.138" TargetMode="External"/><Relationship Id="rId526" Type="http://schemas.openxmlformats.org/officeDocument/2006/relationships/hyperlink" Target="https://www.ncbi.nlm.nih.gov/pubmed/32441123" TargetMode="External"/><Relationship Id="rId37" Type="http://schemas.openxmlformats.org/officeDocument/2006/relationships/hyperlink" Target="https://doi.org/10.1097/FJC.0000000000000419" TargetMode="External"/><Relationship Id="rId58" Type="http://schemas.openxmlformats.org/officeDocument/2006/relationships/hyperlink" Target="https://www.ncbi.nlm.nih.gov/pubmed/20049870" TargetMode="External"/><Relationship Id="rId79" Type="http://schemas.openxmlformats.org/officeDocument/2006/relationships/hyperlink" Target="https://doi.org/10.1111/joim.12951" TargetMode="External"/><Relationship Id="rId102" Type="http://schemas.openxmlformats.org/officeDocument/2006/relationships/hyperlink" Target="https://www.ncbi.nlm.nih.gov/pubmed/30101304" TargetMode="External"/><Relationship Id="rId123" Type="http://schemas.openxmlformats.org/officeDocument/2006/relationships/hyperlink" Target="https://doi.org/10.1038/srep12276" TargetMode="External"/><Relationship Id="rId144" Type="http://schemas.openxmlformats.org/officeDocument/2006/relationships/hyperlink" Target="https://www.ncbi.nlm.nih.gov/pubmed/27659679" TargetMode="External"/><Relationship Id="rId330" Type="http://schemas.openxmlformats.org/officeDocument/2006/relationships/hyperlink" Target="https://www.ncbi.nlm.nih.gov/pubmed/29363163" TargetMode="External"/><Relationship Id="rId90" Type="http://schemas.openxmlformats.org/officeDocument/2006/relationships/hyperlink" Target="https://www.ncbi.nlm.nih.gov/pubmed/27120199" TargetMode="External"/><Relationship Id="rId165" Type="http://schemas.openxmlformats.org/officeDocument/2006/relationships/hyperlink" Target="https://doi.org/10.1093/cvr/cvx181" TargetMode="External"/><Relationship Id="rId186" Type="http://schemas.openxmlformats.org/officeDocument/2006/relationships/hyperlink" Target="https://www.ncbi.nlm.nih.gov/pubmed/29681850" TargetMode="External"/><Relationship Id="rId351" Type="http://schemas.openxmlformats.org/officeDocument/2006/relationships/hyperlink" Target="https://doi.org/10.1093/cvr/cvn227" TargetMode="External"/><Relationship Id="rId372" Type="http://schemas.openxmlformats.org/officeDocument/2006/relationships/hyperlink" Target="https://www.ncbi.nlm.nih.gov/pubmed/30985753" TargetMode="External"/><Relationship Id="rId393" Type="http://schemas.openxmlformats.org/officeDocument/2006/relationships/hyperlink" Target="https://doi.org/10.1038/srep42688" TargetMode="External"/><Relationship Id="rId407" Type="http://schemas.openxmlformats.org/officeDocument/2006/relationships/hyperlink" Target="https://doi.org/10.1161/CIRCRESAHA.109.196667" TargetMode="External"/><Relationship Id="rId428" Type="http://schemas.openxmlformats.org/officeDocument/2006/relationships/hyperlink" Target="https://www.ncbi.nlm.nih.gov/pubmed/27249230" TargetMode="External"/><Relationship Id="rId449" Type="http://schemas.openxmlformats.org/officeDocument/2006/relationships/hyperlink" Target="https://doi.org/10.1161/hc3301.094742" TargetMode="External"/><Relationship Id="rId211" Type="http://schemas.openxmlformats.org/officeDocument/2006/relationships/hyperlink" Target="https://doi.org/10.1161/CIRCULATIONAHA.117.032636" TargetMode="External"/><Relationship Id="rId232" Type="http://schemas.openxmlformats.org/officeDocument/2006/relationships/hyperlink" Target="https://www.ncbi.nlm.nih.gov/pubmed/22194622" TargetMode="External"/><Relationship Id="rId253" Type="http://schemas.openxmlformats.org/officeDocument/2006/relationships/hyperlink" Target="https://doi.org/10.1161/ATVBAHA.108.176487" TargetMode="External"/><Relationship Id="rId274" Type="http://schemas.openxmlformats.org/officeDocument/2006/relationships/hyperlink" Target="https://www.ncbi.nlm.nih.gov/pubmed/19946382" TargetMode="External"/><Relationship Id="rId295" Type="http://schemas.openxmlformats.org/officeDocument/2006/relationships/hyperlink" Target="https://doi.org/10.1016/j.jjcc.2014.02.012" TargetMode="External"/><Relationship Id="rId309" Type="http://schemas.openxmlformats.org/officeDocument/2006/relationships/hyperlink" Target="https://doi.org/10.1093/cvr/cvr057" TargetMode="External"/><Relationship Id="rId460" Type="http://schemas.openxmlformats.org/officeDocument/2006/relationships/hyperlink" Target="https://www.ncbi.nlm.nih.gov/pubmed/11056090" TargetMode="External"/><Relationship Id="rId481" Type="http://schemas.openxmlformats.org/officeDocument/2006/relationships/hyperlink" Target="https://doi.org/10.18632/aging.103104" TargetMode="External"/><Relationship Id="rId516" Type="http://schemas.openxmlformats.org/officeDocument/2006/relationships/hyperlink" Target="https://www.ncbi.nlm.nih.gov/pubmed/29853564" TargetMode="External"/><Relationship Id="rId27" Type="http://schemas.openxmlformats.org/officeDocument/2006/relationships/hyperlink" Target="https://doi.org/10.1161/ATVBAHA.114.304723" TargetMode="External"/><Relationship Id="rId48" Type="http://schemas.openxmlformats.org/officeDocument/2006/relationships/hyperlink" Target="https://www.ncbi.nlm.nih.gov/pubmed/21803849" TargetMode="External"/><Relationship Id="rId69" Type="http://schemas.openxmlformats.org/officeDocument/2006/relationships/hyperlink" Target="https://doi.org/10.1016/j.freeradbiomed.2012.10.001" TargetMode="External"/><Relationship Id="rId113" Type="http://schemas.openxmlformats.org/officeDocument/2006/relationships/hyperlink" Target="https://doi.org/10.1155/2020/8351342" TargetMode="External"/><Relationship Id="rId134" Type="http://schemas.openxmlformats.org/officeDocument/2006/relationships/hyperlink" Target="https://www.ncbi.nlm.nih.gov/pubmed/21376322" TargetMode="External"/><Relationship Id="rId320" Type="http://schemas.openxmlformats.org/officeDocument/2006/relationships/hyperlink" Target="https://www.ncbi.nlm.nih.gov/pubmed/31026093" TargetMode="External"/><Relationship Id="rId537" Type="http://schemas.openxmlformats.org/officeDocument/2006/relationships/hyperlink" Target="https://doi.org/10.1016/j.cmet.2011.02.016" TargetMode="External"/><Relationship Id="rId80" Type="http://schemas.openxmlformats.org/officeDocument/2006/relationships/hyperlink" Target="https://www.ncbi.nlm.nih.gov/pubmed/31251843" TargetMode="External"/><Relationship Id="rId155" Type="http://schemas.openxmlformats.org/officeDocument/2006/relationships/hyperlink" Target="https://doi.org/10.1093/jmcb/mjz040" TargetMode="External"/><Relationship Id="rId176" Type="http://schemas.openxmlformats.org/officeDocument/2006/relationships/hyperlink" Target="https://www.ncbi.nlm.nih.gov/pubmed/28405010" TargetMode="External"/><Relationship Id="rId197" Type="http://schemas.openxmlformats.org/officeDocument/2006/relationships/hyperlink" Target="https://doi.org/10.1093/cvr/cvq015" TargetMode="External"/><Relationship Id="rId341" Type="http://schemas.openxmlformats.org/officeDocument/2006/relationships/hyperlink" Target="https://doi.org/10.1152/ajpgi.00097.2004" TargetMode="External"/><Relationship Id="rId362" Type="http://schemas.openxmlformats.org/officeDocument/2006/relationships/hyperlink" Target="https://www.ncbi.nlm.nih.gov/pubmed/29098407" TargetMode="External"/><Relationship Id="rId383" Type="http://schemas.openxmlformats.org/officeDocument/2006/relationships/hyperlink" Target="https://doi.org/10.1002/jnr.23324" TargetMode="External"/><Relationship Id="rId418" Type="http://schemas.openxmlformats.org/officeDocument/2006/relationships/hyperlink" Target="https://www.ncbi.nlm.nih.gov/pubmed/27777974" TargetMode="External"/><Relationship Id="rId439" Type="http://schemas.openxmlformats.org/officeDocument/2006/relationships/hyperlink" Target="https://doi.org/10.1161/CIRCRESAHA.116.304794" TargetMode="External"/><Relationship Id="rId201" Type="http://schemas.openxmlformats.org/officeDocument/2006/relationships/hyperlink" Target="https://doi.org/10.1016/j.clim.2016.11.005" TargetMode="External"/><Relationship Id="rId222" Type="http://schemas.openxmlformats.org/officeDocument/2006/relationships/hyperlink" Target="https://www.ncbi.nlm.nih.gov/pubmed/15630511" TargetMode="External"/><Relationship Id="rId243" Type="http://schemas.openxmlformats.org/officeDocument/2006/relationships/hyperlink" Target="https://doi.org/10.1007/s00011-016-0983-5" TargetMode="External"/><Relationship Id="rId264" Type="http://schemas.openxmlformats.org/officeDocument/2006/relationships/hyperlink" Target="https://www.ncbi.nlm.nih.gov/pubmed/18538409" TargetMode="External"/><Relationship Id="rId285" Type="http://schemas.openxmlformats.org/officeDocument/2006/relationships/hyperlink" Target="https://doi.org/10.1161/ATVBAHA.117.309918" TargetMode="External"/><Relationship Id="rId450" Type="http://schemas.openxmlformats.org/officeDocument/2006/relationships/hyperlink" Target="https://www.ncbi.nlm.nih.gov/pubmed/11514370" TargetMode="External"/><Relationship Id="rId471" Type="http://schemas.openxmlformats.org/officeDocument/2006/relationships/hyperlink" Target="https://doi.org/10.1016/j.ijcard.2018.07.112" TargetMode="External"/><Relationship Id="rId506" Type="http://schemas.openxmlformats.org/officeDocument/2006/relationships/hyperlink" Target="https://www.ncbi.nlm.nih.gov/pubmed/27569284" TargetMode="External"/><Relationship Id="rId17" Type="http://schemas.openxmlformats.org/officeDocument/2006/relationships/hyperlink" Target="https://doi.org/10.3389/fimmu.2018.01680" TargetMode="External"/><Relationship Id="rId38" Type="http://schemas.openxmlformats.org/officeDocument/2006/relationships/hyperlink" Target="https://www.ncbi.nlm.nih.gov/pubmed/27464494" TargetMode="External"/><Relationship Id="rId59" Type="http://schemas.openxmlformats.org/officeDocument/2006/relationships/hyperlink" Target="https://doi.org/10.1161/ATVBAHA.117.309660" TargetMode="External"/><Relationship Id="rId103" Type="http://schemas.openxmlformats.org/officeDocument/2006/relationships/hyperlink" Target="https://doi.org/10.1101/gad.334284.119" TargetMode="External"/><Relationship Id="rId124" Type="http://schemas.openxmlformats.org/officeDocument/2006/relationships/hyperlink" Target="https://www.ncbi.nlm.nih.gov/pubmed/26184978" TargetMode="External"/><Relationship Id="rId310" Type="http://schemas.openxmlformats.org/officeDocument/2006/relationships/hyperlink" Target="https://www.ncbi.nlm.nih.gov/pubmed/21354994" TargetMode="External"/><Relationship Id="rId492" Type="http://schemas.openxmlformats.org/officeDocument/2006/relationships/hyperlink" Target="https://www.ncbi.nlm.nih.gov/pubmed/27684644" TargetMode="External"/><Relationship Id="rId527" Type="http://schemas.openxmlformats.org/officeDocument/2006/relationships/hyperlink" Target="https://doi.org/10.1084/jem.20181473" TargetMode="External"/><Relationship Id="rId70" Type="http://schemas.openxmlformats.org/officeDocument/2006/relationships/hyperlink" Target="https://www.ncbi.nlm.nih.gov/pubmed/23051009" TargetMode="External"/><Relationship Id="rId91" Type="http://schemas.openxmlformats.org/officeDocument/2006/relationships/hyperlink" Target="https://doi.org/10.1016/j.bbagen.2011.06.013" TargetMode="External"/><Relationship Id="rId145" Type="http://schemas.openxmlformats.org/officeDocument/2006/relationships/hyperlink" Target="https://doi.org/10.1124/pr.118.017178" TargetMode="External"/><Relationship Id="rId166" Type="http://schemas.openxmlformats.org/officeDocument/2006/relationships/hyperlink" Target="https://www.ncbi.nlm.nih.gov/pubmed/29016728" TargetMode="External"/><Relationship Id="rId187" Type="http://schemas.openxmlformats.org/officeDocument/2006/relationships/hyperlink" Target="https://doi.org/10.1016/j.taap.2018.12.002" TargetMode="External"/><Relationship Id="rId331" Type="http://schemas.openxmlformats.org/officeDocument/2006/relationships/hyperlink" Target="https://doi.org/10.1053/j.gastro.2018.11.061" TargetMode="External"/><Relationship Id="rId352" Type="http://schemas.openxmlformats.org/officeDocument/2006/relationships/hyperlink" Target="https://www.ncbi.nlm.nih.gov/pubmed/18703531" TargetMode="External"/><Relationship Id="rId373" Type="http://schemas.openxmlformats.org/officeDocument/2006/relationships/hyperlink" Target="https://doi.org/10.1161/CIRCULATIONAHA.116.025889" TargetMode="External"/><Relationship Id="rId394" Type="http://schemas.openxmlformats.org/officeDocument/2006/relationships/hyperlink" Target="https://www.ncbi.nlm.nih.gov/pubmed/28202909" TargetMode="External"/><Relationship Id="rId408" Type="http://schemas.openxmlformats.org/officeDocument/2006/relationships/hyperlink" Target="https://www.ncbi.nlm.nih.gov/pubmed/19478203" TargetMode="External"/><Relationship Id="rId429" Type="http://schemas.openxmlformats.org/officeDocument/2006/relationships/hyperlink" Target="https://doi.org/10.1016/j.peptides.2016.06.009" TargetMode="External"/><Relationship Id="rId1" Type="http://schemas.openxmlformats.org/officeDocument/2006/relationships/styles" Target="styles.xml"/><Relationship Id="rId212" Type="http://schemas.openxmlformats.org/officeDocument/2006/relationships/hyperlink" Target="https://www.ncbi.nlm.nih.gov/pubmed/29588315" TargetMode="External"/><Relationship Id="rId233" Type="http://schemas.openxmlformats.org/officeDocument/2006/relationships/hyperlink" Target="https://doi.org/10.1016/j.atherosclerosis.2004.08.020" TargetMode="External"/><Relationship Id="rId254" Type="http://schemas.openxmlformats.org/officeDocument/2006/relationships/hyperlink" Target="https://www.ncbi.nlm.nih.gov/pubmed/18988890" TargetMode="External"/><Relationship Id="rId440" Type="http://schemas.openxmlformats.org/officeDocument/2006/relationships/hyperlink" Target="https://www.ncbi.nlm.nih.gov/pubmed/25348165" TargetMode="External"/><Relationship Id="rId28" Type="http://schemas.openxmlformats.org/officeDocument/2006/relationships/hyperlink" Target="https://www.ncbi.nlm.nih.gov/pubmed/25810298" TargetMode="External"/><Relationship Id="rId49" Type="http://schemas.openxmlformats.org/officeDocument/2006/relationships/hyperlink" Target="https://doi.org/10.1155/2015/739586" TargetMode="External"/><Relationship Id="rId114" Type="http://schemas.openxmlformats.org/officeDocument/2006/relationships/hyperlink" Target="https://www.ncbi.nlm.nih.gov/pubmed/32190178" TargetMode="External"/><Relationship Id="rId275" Type="http://schemas.openxmlformats.org/officeDocument/2006/relationships/hyperlink" Target="https://doi.org/10.1053/j.gastro.2016.09.033" TargetMode="External"/><Relationship Id="rId296" Type="http://schemas.openxmlformats.org/officeDocument/2006/relationships/hyperlink" Target="https://www.ncbi.nlm.nih.gov/pubmed/24674750" TargetMode="External"/><Relationship Id="rId300" Type="http://schemas.openxmlformats.org/officeDocument/2006/relationships/hyperlink" Target="https://www.ncbi.nlm.nih.gov/pubmed/16424351" TargetMode="External"/><Relationship Id="rId461" Type="http://schemas.openxmlformats.org/officeDocument/2006/relationships/hyperlink" Target="https://doi.org/10.1007/s11306-014-0761-8" TargetMode="External"/><Relationship Id="rId482" Type="http://schemas.openxmlformats.org/officeDocument/2006/relationships/hyperlink" Target="https://www.ncbi.nlm.nih.gov/pubmed/32330120" TargetMode="External"/><Relationship Id="rId517" Type="http://schemas.openxmlformats.org/officeDocument/2006/relationships/hyperlink" Target="https://doi.org/10.1161/CIRCRESAHA.110.233999" TargetMode="External"/><Relationship Id="rId538" Type="http://schemas.openxmlformats.org/officeDocument/2006/relationships/hyperlink" Target="https://www.ncbi.nlm.nih.gov/pubmed/21531341" TargetMode="External"/><Relationship Id="rId60" Type="http://schemas.openxmlformats.org/officeDocument/2006/relationships/hyperlink" Target="https://www.ncbi.nlm.nih.gov/pubmed/29074585" TargetMode="External"/><Relationship Id="rId81" Type="http://schemas.openxmlformats.org/officeDocument/2006/relationships/hyperlink" Target="https://doi.org/10.1093/cvr/cvs026" TargetMode="External"/><Relationship Id="rId135" Type="http://schemas.openxmlformats.org/officeDocument/2006/relationships/hyperlink" Target="https://doi.org/10.1161/ATVBAHA.109.192963" TargetMode="External"/><Relationship Id="rId156" Type="http://schemas.openxmlformats.org/officeDocument/2006/relationships/hyperlink" Target="https://www.ncbi.nlm.nih.gov/pubmed/31070748" TargetMode="External"/><Relationship Id="rId177" Type="http://schemas.openxmlformats.org/officeDocument/2006/relationships/hyperlink" Target="https://doi.org/10.1111/jcmm.12864" TargetMode="External"/><Relationship Id="rId198" Type="http://schemas.openxmlformats.org/officeDocument/2006/relationships/hyperlink" Target="https://www.ncbi.nlm.nih.gov/pubmed/20083572" TargetMode="External"/><Relationship Id="rId321" Type="http://schemas.openxmlformats.org/officeDocument/2006/relationships/hyperlink" Target="https://doi.org/10.1016/j.anai.2019.10.013" TargetMode="External"/><Relationship Id="rId342" Type="http://schemas.openxmlformats.org/officeDocument/2006/relationships/hyperlink" Target="https://www.ncbi.nlm.nih.gov/pubmed/15075252" TargetMode="External"/><Relationship Id="rId363" Type="http://schemas.openxmlformats.org/officeDocument/2006/relationships/hyperlink" Target="https://doi.org/10.1038/s41467-018-03252-6" TargetMode="External"/><Relationship Id="rId384" Type="http://schemas.openxmlformats.org/officeDocument/2006/relationships/hyperlink" Target="https://www.ncbi.nlm.nih.gov/pubmed/24446142" TargetMode="External"/><Relationship Id="rId419" Type="http://schemas.openxmlformats.org/officeDocument/2006/relationships/hyperlink" Target="https://doi.org/10.1038/icb.2015.41" TargetMode="External"/><Relationship Id="rId202" Type="http://schemas.openxmlformats.org/officeDocument/2006/relationships/hyperlink" Target="https://www.ncbi.nlm.nih.gov/pubmed/27871915" TargetMode="External"/><Relationship Id="rId223" Type="http://schemas.openxmlformats.org/officeDocument/2006/relationships/hyperlink" Target="https://doi.org/10.1161/CIRCRESAHA.110.222083" TargetMode="External"/><Relationship Id="rId244" Type="http://schemas.openxmlformats.org/officeDocument/2006/relationships/hyperlink" Target="https://pubmed.ncbi.nlm.nih.gov/27554682" TargetMode="External"/><Relationship Id="rId430" Type="http://schemas.openxmlformats.org/officeDocument/2006/relationships/hyperlink" Target="https://www.ncbi.nlm.nih.gov/pubmed/27346255" TargetMode="External"/><Relationship Id="rId18" Type="http://schemas.openxmlformats.org/officeDocument/2006/relationships/hyperlink" Target="https://www.ncbi.nlm.nih.gov/pubmed/30140264" TargetMode="External"/><Relationship Id="rId39" Type="http://schemas.openxmlformats.org/officeDocument/2006/relationships/hyperlink" Target="https://doi.org/10.1038/ncomms12849" TargetMode="External"/><Relationship Id="rId265" Type="http://schemas.openxmlformats.org/officeDocument/2006/relationships/hyperlink" Target="https://doi.org/10.1016/j.ijcard.2014.01.078" TargetMode="External"/><Relationship Id="rId286" Type="http://schemas.openxmlformats.org/officeDocument/2006/relationships/hyperlink" Target="https://www.ncbi.nlm.nih.gov/pubmed/29348121" TargetMode="External"/><Relationship Id="rId451" Type="http://schemas.openxmlformats.org/officeDocument/2006/relationships/hyperlink" Target="https://doi.org/10.1093/cvr/cvu070" TargetMode="External"/><Relationship Id="rId472" Type="http://schemas.openxmlformats.org/officeDocument/2006/relationships/hyperlink" Target="https://www.ncbi.nlm.nih.gov/pubmed/30075966" TargetMode="External"/><Relationship Id="rId493" Type="http://schemas.openxmlformats.org/officeDocument/2006/relationships/hyperlink" Target="https://doi.org/10.1186/1471-2261-14-6" TargetMode="External"/><Relationship Id="rId507" Type="http://schemas.openxmlformats.org/officeDocument/2006/relationships/hyperlink" Target="https://doi.org/10.1160/TH13-01-0017" TargetMode="External"/><Relationship Id="rId528" Type="http://schemas.openxmlformats.org/officeDocument/2006/relationships/hyperlink" Target="https://www.ncbi.nlm.nih.gov/pubmed/30940720" TargetMode="External"/><Relationship Id="rId50" Type="http://schemas.openxmlformats.org/officeDocument/2006/relationships/hyperlink" Target="https://www.ncbi.nlm.nih.gov/pubmed/26504826" TargetMode="External"/><Relationship Id="rId104" Type="http://schemas.openxmlformats.org/officeDocument/2006/relationships/hyperlink" Target="https://www.ncbi.nlm.nih.gov/pubmed/32029456" TargetMode="External"/><Relationship Id="rId125" Type="http://schemas.openxmlformats.org/officeDocument/2006/relationships/hyperlink" Target="https://doi.org/10.1161/ATVBAHA.112.249714" TargetMode="External"/><Relationship Id="rId146" Type="http://schemas.openxmlformats.org/officeDocument/2006/relationships/hyperlink" Target="https://www.ncbi.nlm.nih.gov/pubmed/31554644" TargetMode="External"/><Relationship Id="rId167" Type="http://schemas.openxmlformats.org/officeDocument/2006/relationships/hyperlink" Target="https://doi.org/10.18097/PBMC20186405416" TargetMode="External"/><Relationship Id="rId188" Type="http://schemas.openxmlformats.org/officeDocument/2006/relationships/hyperlink" Target="https://www.ncbi.nlm.nih.gov/pubmed/30529164" TargetMode="External"/><Relationship Id="rId311" Type="http://schemas.openxmlformats.org/officeDocument/2006/relationships/hyperlink" Target="https://doi.org/10.1016/j.atherosclerosis.2011.01.015" TargetMode="External"/><Relationship Id="rId332" Type="http://schemas.openxmlformats.org/officeDocument/2006/relationships/hyperlink" Target="https://www.ncbi.nlm.nih.gov/pubmed/30521806" TargetMode="External"/><Relationship Id="rId353" Type="http://schemas.openxmlformats.org/officeDocument/2006/relationships/hyperlink" Target="https://doi.org/10.7717/peerj.7407" TargetMode="External"/><Relationship Id="rId374" Type="http://schemas.openxmlformats.org/officeDocument/2006/relationships/hyperlink" Target="https://www.ncbi.nlm.nih.gov/pubmed/28450348" TargetMode="External"/><Relationship Id="rId395" Type="http://schemas.openxmlformats.org/officeDocument/2006/relationships/hyperlink" Target="https://doi.org/10.1177/1753944714542593" TargetMode="External"/><Relationship Id="rId409" Type="http://schemas.openxmlformats.org/officeDocument/2006/relationships/hyperlink" Target="https://doi.org/10.3892/ijmm.2018.4015" TargetMode="External"/><Relationship Id="rId71" Type="http://schemas.openxmlformats.org/officeDocument/2006/relationships/hyperlink" Target="https://doi.org/10.1161/CIRCULATIONAHA.116.024503" TargetMode="External"/><Relationship Id="rId92" Type="http://schemas.openxmlformats.org/officeDocument/2006/relationships/hyperlink" Target="https://www.ncbi.nlm.nih.gov/pubmed/21723916" TargetMode="External"/><Relationship Id="rId213" Type="http://schemas.openxmlformats.org/officeDocument/2006/relationships/hyperlink" Target="https://doi.org/10.1016/j.bbrc.2014.01.048" TargetMode="External"/><Relationship Id="rId234" Type="http://schemas.openxmlformats.org/officeDocument/2006/relationships/hyperlink" Target="https://www.ncbi.nlm.nih.gov/pubmed/15585201" TargetMode="External"/><Relationship Id="rId420" Type="http://schemas.openxmlformats.org/officeDocument/2006/relationships/hyperlink" Target="https://www.ncbi.nlm.nih.gov/pubmed/25748163" TargetMode="External"/><Relationship Id="rId2" Type="http://schemas.microsoft.com/office/2007/relationships/stylesWithEffects" Target="stylesWithEffects.xml"/><Relationship Id="rId29" Type="http://schemas.openxmlformats.org/officeDocument/2006/relationships/hyperlink" Target="https://doi.org/10.1161/ATVBAHA.119.312389" TargetMode="External"/><Relationship Id="rId255" Type="http://schemas.openxmlformats.org/officeDocument/2006/relationships/hyperlink" Target="https://doi.org/10.3389/fimmu.2020.00397" TargetMode="External"/><Relationship Id="rId276" Type="http://schemas.openxmlformats.org/officeDocument/2006/relationships/hyperlink" Target="https://www.ncbi.nlm.nih.gov/pubmed/27693511" TargetMode="External"/><Relationship Id="rId297" Type="http://schemas.openxmlformats.org/officeDocument/2006/relationships/hyperlink" Target="https://doi.org/10.1161/01.CIR.0000154550.15963.80" TargetMode="External"/><Relationship Id="rId441" Type="http://schemas.openxmlformats.org/officeDocument/2006/relationships/hyperlink" Target="https://doi.org/10.1161/ATVBAHA.112.300309" TargetMode="External"/><Relationship Id="rId462" Type="http://schemas.openxmlformats.org/officeDocument/2006/relationships/hyperlink" Target="https://pubmed.ncbi.nlm.nih.gov/26413039" TargetMode="External"/><Relationship Id="rId483" Type="http://schemas.openxmlformats.org/officeDocument/2006/relationships/hyperlink" Target="https://doi.org/10.1161/01.ATV.0000242903.41158.a1" TargetMode="External"/><Relationship Id="rId518" Type="http://schemas.openxmlformats.org/officeDocument/2006/relationships/hyperlink" Target="https://www.ncbi.nlm.nih.gov/pubmed/21193738" TargetMode="External"/><Relationship Id="rId539" Type="http://schemas.openxmlformats.org/officeDocument/2006/relationships/hyperlink" Target="https://www.ncbi.nlm.nih.gov/pubmed/25620171" TargetMode="External"/><Relationship Id="rId40" Type="http://schemas.openxmlformats.org/officeDocument/2006/relationships/hyperlink" Target="https://www.ncbi.nlm.nih.gov/pubmed/27796300" TargetMode="External"/><Relationship Id="rId115" Type="http://schemas.openxmlformats.org/officeDocument/2006/relationships/hyperlink" Target="https://doi.org/10.1016/j.atherosclerosis.2016.12.007" TargetMode="External"/><Relationship Id="rId136" Type="http://schemas.openxmlformats.org/officeDocument/2006/relationships/hyperlink" Target="https://www.ncbi.nlm.nih.gov/pubmed/19679829" TargetMode="External"/><Relationship Id="rId157" Type="http://schemas.openxmlformats.org/officeDocument/2006/relationships/hyperlink" Target="https://doi.org/10.1016/j.redox.2016.12.005" TargetMode="External"/><Relationship Id="rId178" Type="http://schemas.openxmlformats.org/officeDocument/2006/relationships/hyperlink" Target="https://www.ncbi.nlm.nih.gov/pubmed/27130701" TargetMode="External"/><Relationship Id="rId301" Type="http://schemas.openxmlformats.org/officeDocument/2006/relationships/hyperlink" Target="https://doi.org/10.1111/j.1365-2796.2010.02304.x" TargetMode="External"/><Relationship Id="rId322" Type="http://schemas.openxmlformats.org/officeDocument/2006/relationships/hyperlink" Target="https://www.ncbi.nlm.nih.gov/pubmed/31622668" TargetMode="External"/><Relationship Id="rId343" Type="http://schemas.openxmlformats.org/officeDocument/2006/relationships/hyperlink" Target="https://doi.org/10.1161/CIRCRESAHA.111.241810" TargetMode="External"/><Relationship Id="rId364" Type="http://schemas.openxmlformats.org/officeDocument/2006/relationships/hyperlink" Target="https://www.ncbi.nlm.nih.gov/pubmed/29511194" TargetMode="External"/><Relationship Id="rId61" Type="http://schemas.openxmlformats.org/officeDocument/2006/relationships/hyperlink" Target="https://doi.org/10.1161/01.STR.0000057815.79289.EC" TargetMode="External"/><Relationship Id="rId82" Type="http://schemas.openxmlformats.org/officeDocument/2006/relationships/hyperlink" Target="https://www.ncbi.nlm.nih.gov/pubmed/22287576" TargetMode="External"/><Relationship Id="rId199" Type="http://schemas.openxmlformats.org/officeDocument/2006/relationships/hyperlink" Target="https://doi.org/10.1016/j.plipres.2018.12.002" TargetMode="External"/><Relationship Id="rId203" Type="http://schemas.openxmlformats.org/officeDocument/2006/relationships/hyperlink" Target="https://doi.org/10.1152/physiolgenomics.00077.2019" TargetMode="External"/><Relationship Id="rId385" Type="http://schemas.openxmlformats.org/officeDocument/2006/relationships/hyperlink" Target="https://doi.org/10.1159/000477596" TargetMode="External"/><Relationship Id="rId19" Type="http://schemas.openxmlformats.org/officeDocument/2006/relationships/hyperlink" Target="https://doi.org/10.1111/bph.12246" TargetMode="External"/><Relationship Id="rId224" Type="http://schemas.openxmlformats.org/officeDocument/2006/relationships/hyperlink" Target="https://www.ncbi.nlm.nih.gov/pubmed/20558821" TargetMode="External"/><Relationship Id="rId245" Type="http://schemas.openxmlformats.org/officeDocument/2006/relationships/hyperlink" Target="https://doi.org/10.1038/s41590-018-0102-6" TargetMode="External"/><Relationship Id="rId266" Type="http://schemas.openxmlformats.org/officeDocument/2006/relationships/hyperlink" Target="https://www.ncbi.nlm.nih.gov/pubmed/24508110" TargetMode="External"/><Relationship Id="rId287" Type="http://schemas.openxmlformats.org/officeDocument/2006/relationships/hyperlink" Target="https://doi.org/10.1161/CIRCRESAHA.109.201855" TargetMode="External"/><Relationship Id="rId410" Type="http://schemas.openxmlformats.org/officeDocument/2006/relationships/hyperlink" Target="https://www.ncbi.nlm.nih.gov/pubmed/30535427" TargetMode="External"/><Relationship Id="rId431" Type="http://schemas.openxmlformats.org/officeDocument/2006/relationships/hyperlink" Target="https://doi.org/10.1161/ATVBAHA.107.151894" TargetMode="External"/><Relationship Id="rId452" Type="http://schemas.openxmlformats.org/officeDocument/2006/relationships/hyperlink" Target="https://www.ncbi.nlm.nih.gov/pubmed/24675724" TargetMode="External"/><Relationship Id="rId473" Type="http://schemas.openxmlformats.org/officeDocument/2006/relationships/hyperlink" Target="https://doi.org/10.1016/j.molimm.2019.01.001" TargetMode="External"/><Relationship Id="rId494" Type="http://schemas.openxmlformats.org/officeDocument/2006/relationships/hyperlink" Target="https://www.ncbi.nlm.nih.gov/pubmed/24423397" TargetMode="External"/><Relationship Id="rId508" Type="http://schemas.openxmlformats.org/officeDocument/2006/relationships/hyperlink" Target="https://www.ncbi.nlm.nih.gov/pubmed/24114205" TargetMode="External"/><Relationship Id="rId529" Type="http://schemas.openxmlformats.org/officeDocument/2006/relationships/hyperlink" Target="https://doi.org/10.1016/j.yjmcc.2008.10.023" TargetMode="External"/><Relationship Id="rId30" Type="http://schemas.openxmlformats.org/officeDocument/2006/relationships/hyperlink" Target="https://www.ncbi.nlm.nih.gov/pubmed/31434492" TargetMode="External"/><Relationship Id="rId105" Type="http://schemas.openxmlformats.org/officeDocument/2006/relationships/hyperlink" Target="https://doi.org/10.1016/j.atherosclerosis.2012.02.012" TargetMode="External"/><Relationship Id="rId126" Type="http://schemas.openxmlformats.org/officeDocument/2006/relationships/hyperlink" Target="https://www.ncbi.nlm.nih.gov/pubmed/22628436" TargetMode="External"/><Relationship Id="rId147" Type="http://schemas.openxmlformats.org/officeDocument/2006/relationships/hyperlink" Target="https://doi.org/10.7150/ijbs.3524" TargetMode="External"/><Relationship Id="rId168" Type="http://schemas.openxmlformats.org/officeDocument/2006/relationships/hyperlink" Target="https://www.ncbi.nlm.nih.gov/pubmed/30378557" TargetMode="External"/><Relationship Id="rId312" Type="http://schemas.openxmlformats.org/officeDocument/2006/relationships/hyperlink" Target="https://www.ncbi.nlm.nih.gov/pubmed/21316676" TargetMode="External"/><Relationship Id="rId333" Type="http://schemas.openxmlformats.org/officeDocument/2006/relationships/hyperlink" Target="https://doi.org/10.1074/jbc.M117.778506" TargetMode="External"/><Relationship Id="rId354" Type="http://schemas.openxmlformats.org/officeDocument/2006/relationships/hyperlink" Target="https://www.ncbi.nlm.nih.gov/pubmed/31396447" TargetMode="External"/><Relationship Id="rId540" Type="http://schemas.openxmlformats.org/officeDocument/2006/relationships/hyperlink" Target="https://doi.org/10.1016/j.yjmcc.2015.08.013" TargetMode="External"/><Relationship Id="rId51" Type="http://schemas.openxmlformats.org/officeDocument/2006/relationships/hyperlink" Target="https://doi.org/10.1016/j.gene.2018.05.072" TargetMode="External"/><Relationship Id="rId72" Type="http://schemas.openxmlformats.org/officeDocument/2006/relationships/hyperlink" Target="https://www.ncbi.nlm.nih.gov/pubmed/28122883" TargetMode="External"/><Relationship Id="rId93" Type="http://schemas.openxmlformats.org/officeDocument/2006/relationships/hyperlink" Target="https://doi.org/10.1016/j.jnutbio.2019.02.003" TargetMode="External"/><Relationship Id="rId189" Type="http://schemas.openxmlformats.org/officeDocument/2006/relationships/hyperlink" Target="https://doi.org/10.1038/s41598-017-04497-9" TargetMode="External"/><Relationship Id="rId375" Type="http://schemas.openxmlformats.org/officeDocument/2006/relationships/hyperlink" Target="https://doi.org/10.1186/1471-2156-13-12" TargetMode="External"/><Relationship Id="rId396" Type="http://schemas.openxmlformats.org/officeDocument/2006/relationships/hyperlink" Target="https://www.ncbi.nlm.nih.gov/pubmed/25037058" TargetMode="External"/><Relationship Id="rId3" Type="http://schemas.openxmlformats.org/officeDocument/2006/relationships/settings" Target="settings.xml"/><Relationship Id="rId214" Type="http://schemas.openxmlformats.org/officeDocument/2006/relationships/hyperlink" Target="https://www.ncbi.nlm.nih.gov/pubmed/24462860" TargetMode="External"/><Relationship Id="rId235" Type="http://schemas.openxmlformats.org/officeDocument/2006/relationships/hyperlink" Target="https://doi.org/10.1161/ATVBAHA.110.215228" TargetMode="External"/><Relationship Id="rId256" Type="http://schemas.openxmlformats.org/officeDocument/2006/relationships/hyperlink" Target="https://www.ncbi.nlm.nih.gov/pubmed/32292401" TargetMode="External"/><Relationship Id="rId277" Type="http://schemas.openxmlformats.org/officeDocument/2006/relationships/hyperlink" Target="https://doi.org/10.1371/journal.pone.0065003" TargetMode="External"/><Relationship Id="rId298" Type="http://schemas.openxmlformats.org/officeDocument/2006/relationships/hyperlink" Target="https://www.ncbi.nlm.nih.gov/pubmed/15668341" TargetMode="External"/><Relationship Id="rId400" Type="http://schemas.openxmlformats.org/officeDocument/2006/relationships/hyperlink" Target="https://www.ncbi.nlm.nih.gov/pubmed/29937375" TargetMode="External"/><Relationship Id="rId421" Type="http://schemas.openxmlformats.org/officeDocument/2006/relationships/hyperlink" Target="https://doi.org/10.1089/dna.2019.4865" TargetMode="External"/><Relationship Id="rId442" Type="http://schemas.openxmlformats.org/officeDocument/2006/relationships/hyperlink" Target="https://www.ncbi.nlm.nih.gov/pubmed/23349189" TargetMode="External"/><Relationship Id="rId463" Type="http://schemas.openxmlformats.org/officeDocument/2006/relationships/hyperlink" Target="https://doi.org/10.1161/CIRCULATIONAHA.114.012316" TargetMode="External"/><Relationship Id="rId484" Type="http://schemas.openxmlformats.org/officeDocument/2006/relationships/hyperlink" Target="https://www.ncbi.nlm.nih.gov/pubmed/16931790" TargetMode="External"/><Relationship Id="rId519" Type="http://schemas.openxmlformats.org/officeDocument/2006/relationships/hyperlink" Target="https://doi.org/10.1016/j.atherosclerosis.2018.05.045" TargetMode="External"/><Relationship Id="rId116" Type="http://schemas.openxmlformats.org/officeDocument/2006/relationships/hyperlink" Target="https://www.ncbi.nlm.nih.gov/pubmed/28135625" TargetMode="External"/><Relationship Id="rId137" Type="http://schemas.openxmlformats.org/officeDocument/2006/relationships/hyperlink" Target="https://doi.org/10.1002/emmm.201302842" TargetMode="External"/><Relationship Id="rId158" Type="http://schemas.openxmlformats.org/officeDocument/2006/relationships/hyperlink" Target="https://www.ncbi.nlm.nih.gov/pubmed/28040583" TargetMode="External"/><Relationship Id="rId302" Type="http://schemas.openxmlformats.org/officeDocument/2006/relationships/hyperlink" Target="https://www.ncbi.nlm.nih.gov/pubmed/21073559" TargetMode="External"/><Relationship Id="rId323" Type="http://schemas.openxmlformats.org/officeDocument/2006/relationships/hyperlink" Target="https://doi.org/10.1371/journal.pone.0126839" TargetMode="External"/><Relationship Id="rId344" Type="http://schemas.openxmlformats.org/officeDocument/2006/relationships/hyperlink" Target="https://www.ncbi.nlm.nih.gov/pubmed/21757649" TargetMode="External"/><Relationship Id="rId530" Type="http://schemas.openxmlformats.org/officeDocument/2006/relationships/hyperlink" Target="https://www.ncbi.nlm.nih.gov/pubmed/19041327" TargetMode="External"/><Relationship Id="rId20" Type="http://schemas.openxmlformats.org/officeDocument/2006/relationships/hyperlink" Target="https://www.ncbi.nlm.nih.gov/pubmed/23713790" TargetMode="External"/><Relationship Id="rId41" Type="http://schemas.openxmlformats.org/officeDocument/2006/relationships/hyperlink" Target="https://doi.org/10.1016/j.atherosclerosis.2013.12.043" TargetMode="External"/><Relationship Id="rId62" Type="http://schemas.openxmlformats.org/officeDocument/2006/relationships/hyperlink" Target="https://www.ncbi.nlm.nih.gov/pubmed/12624309" TargetMode="External"/><Relationship Id="rId83" Type="http://schemas.openxmlformats.org/officeDocument/2006/relationships/hyperlink" Target="https://doi.org/10.1038/srep01867" TargetMode="External"/><Relationship Id="rId179" Type="http://schemas.openxmlformats.org/officeDocument/2006/relationships/hyperlink" Target="https://doi.org/10.3389/fimmu.2019.01253" TargetMode="External"/><Relationship Id="rId365" Type="http://schemas.openxmlformats.org/officeDocument/2006/relationships/hyperlink" Target="https://doi.org/10.1160/TH15-08-0640" TargetMode="External"/><Relationship Id="rId386" Type="http://schemas.openxmlformats.org/officeDocument/2006/relationships/hyperlink" Target="https://pubmed.ncbi.nlm.nih.gov/28578349" TargetMode="External"/><Relationship Id="rId190" Type="http://schemas.openxmlformats.org/officeDocument/2006/relationships/hyperlink" Target="https://www.ncbi.nlm.nih.gov/pubmed/28659610" TargetMode="External"/><Relationship Id="rId204" Type="http://schemas.openxmlformats.org/officeDocument/2006/relationships/hyperlink" Target="https://www.ncbi.nlm.nih.gov/pubmed/31682178" TargetMode="External"/><Relationship Id="rId225" Type="http://schemas.openxmlformats.org/officeDocument/2006/relationships/hyperlink" Target="https://doi.org/10.1093/jn/nxz106" TargetMode="External"/><Relationship Id="rId246" Type="http://schemas.openxmlformats.org/officeDocument/2006/relationships/hyperlink" Target="https://www.ncbi.nlm.nih.gov/pubmed/29713015" TargetMode="External"/><Relationship Id="rId267" Type="http://schemas.openxmlformats.org/officeDocument/2006/relationships/hyperlink" Target="https://doi.org/10.1093/eurheartj/ehaa140" TargetMode="External"/><Relationship Id="rId288" Type="http://schemas.openxmlformats.org/officeDocument/2006/relationships/hyperlink" Target="https://www.ncbi.nlm.nih.gov/pubmed/19628791" TargetMode="External"/><Relationship Id="rId411" Type="http://schemas.openxmlformats.org/officeDocument/2006/relationships/hyperlink" Target="https://doi.org/10.2741/4325" TargetMode="External"/><Relationship Id="rId432" Type="http://schemas.openxmlformats.org/officeDocument/2006/relationships/hyperlink" Target="https://www.ncbi.nlm.nih.gov/pubmed/17761937" TargetMode="External"/><Relationship Id="rId453" Type="http://schemas.openxmlformats.org/officeDocument/2006/relationships/hyperlink" Target="https://doi.org/10.1182/blood-2010-04-278192" TargetMode="External"/><Relationship Id="rId474" Type="http://schemas.openxmlformats.org/officeDocument/2006/relationships/hyperlink" Target="https://www.ncbi.nlm.nih.gov/pubmed/30639475" TargetMode="External"/><Relationship Id="rId509" Type="http://schemas.openxmlformats.org/officeDocument/2006/relationships/hyperlink" Target="https://doi.org/10.1161/CIRCRESAHA.111.242578" TargetMode="External"/><Relationship Id="rId106" Type="http://schemas.openxmlformats.org/officeDocument/2006/relationships/hyperlink" Target="https://www.ncbi.nlm.nih.gov/pubmed/22398276" TargetMode="External"/><Relationship Id="rId127" Type="http://schemas.openxmlformats.org/officeDocument/2006/relationships/hyperlink" Target="https://doi.org/10.1111/jcmm.14401" TargetMode="External"/><Relationship Id="rId313" Type="http://schemas.openxmlformats.org/officeDocument/2006/relationships/hyperlink" Target="https://doi.org/10.1007/s10456-012-9285-x" TargetMode="External"/><Relationship Id="rId495" Type="http://schemas.openxmlformats.org/officeDocument/2006/relationships/hyperlink" Target="https://doi.org/10.2119/molmed.2012.00094" TargetMode="External"/><Relationship Id="rId10" Type="http://schemas.openxmlformats.org/officeDocument/2006/relationships/hyperlink" Target="https://www.ncbi.nlm.nih.gov/pubmed/32160082" TargetMode="External"/><Relationship Id="rId31" Type="http://schemas.openxmlformats.org/officeDocument/2006/relationships/hyperlink" Target="https://doi.org/10.1007/s11033-018-4207-7" TargetMode="External"/><Relationship Id="rId52" Type="http://schemas.openxmlformats.org/officeDocument/2006/relationships/hyperlink" Target="https://www.ncbi.nlm.nih.gov/pubmed/29787826" TargetMode="External"/><Relationship Id="rId73" Type="http://schemas.openxmlformats.org/officeDocument/2006/relationships/hyperlink" Target="https://doi.org/10.1194/jlr.M059170" TargetMode="External"/><Relationship Id="rId94" Type="http://schemas.openxmlformats.org/officeDocument/2006/relationships/hyperlink" Target="https://www.ncbi.nlm.nih.gov/pubmed/30981985" TargetMode="External"/><Relationship Id="rId148" Type="http://schemas.openxmlformats.org/officeDocument/2006/relationships/hyperlink" Target="https://www.ncbi.nlm.nih.gov/pubmed/22355267" TargetMode="External"/><Relationship Id="rId169" Type="http://schemas.openxmlformats.org/officeDocument/2006/relationships/hyperlink" Target="https://doi.org/10.1007/s00125-014-3215-y" TargetMode="External"/><Relationship Id="rId334" Type="http://schemas.openxmlformats.org/officeDocument/2006/relationships/hyperlink" Target="https://www.ncbi.nlm.nih.gov/pubmed/28646109" TargetMode="External"/><Relationship Id="rId355" Type="http://schemas.openxmlformats.org/officeDocument/2006/relationships/hyperlink" Target="https://doi.org/10.1161/CIRCRESAHA.119.315786" TargetMode="External"/><Relationship Id="rId376" Type="http://schemas.openxmlformats.org/officeDocument/2006/relationships/hyperlink" Target="https://www.ncbi.nlm.nih.gov/pubmed/22369142" TargetMode="External"/><Relationship Id="rId397" Type="http://schemas.openxmlformats.org/officeDocument/2006/relationships/hyperlink" Target="https://doi.org/10.1038/nm.3890" TargetMode="External"/><Relationship Id="rId520" Type="http://schemas.openxmlformats.org/officeDocument/2006/relationships/hyperlink" Target="https://www.ncbi.nlm.nih.gov/pubmed/29859472" TargetMode="External"/><Relationship Id="rId541" Type="http://schemas.openxmlformats.org/officeDocument/2006/relationships/hyperlink" Target="https://www.ncbi.nlm.nih.gov/pubmed/26307149" TargetMode="External"/><Relationship Id="rId4" Type="http://schemas.openxmlformats.org/officeDocument/2006/relationships/webSettings" Target="webSettings.xml"/><Relationship Id="rId180" Type="http://schemas.openxmlformats.org/officeDocument/2006/relationships/hyperlink" Target="https://www.ncbi.nlm.nih.gov/pubmed/31231385" TargetMode="External"/><Relationship Id="rId215" Type="http://schemas.openxmlformats.org/officeDocument/2006/relationships/hyperlink" Target="https://doi.org/10.1160/TH10-10-0630" TargetMode="External"/><Relationship Id="rId236" Type="http://schemas.openxmlformats.org/officeDocument/2006/relationships/hyperlink" Target="https://www.ncbi.nlm.nih.gov/pubmed/21273563" TargetMode="External"/><Relationship Id="rId257" Type="http://schemas.openxmlformats.org/officeDocument/2006/relationships/hyperlink" Target="https://doi.org/10.1002/jcb.28439" TargetMode="External"/><Relationship Id="rId278" Type="http://schemas.openxmlformats.org/officeDocument/2006/relationships/hyperlink" Target="https://www.ncbi.nlm.nih.gov/pubmed/23705026" TargetMode="External"/><Relationship Id="rId401" Type="http://schemas.openxmlformats.org/officeDocument/2006/relationships/hyperlink" Target="https://doi.org/10.1016/j.atherosclerosis.2012.03.025" TargetMode="External"/><Relationship Id="rId422" Type="http://schemas.openxmlformats.org/officeDocument/2006/relationships/hyperlink" Target="https://www.ncbi.nlm.nih.gov/pubmed/31804889" TargetMode="External"/><Relationship Id="rId443" Type="http://schemas.openxmlformats.org/officeDocument/2006/relationships/hyperlink" Target="https://doi.org/10.1007/s00395-013-0340-6" TargetMode="External"/><Relationship Id="rId464" Type="http://schemas.openxmlformats.org/officeDocument/2006/relationships/hyperlink" Target="https://www.ncbi.nlm.nih.gov/pubmed/26068045" TargetMode="External"/><Relationship Id="rId303" Type="http://schemas.openxmlformats.org/officeDocument/2006/relationships/hyperlink" Target="https://doi.org/10.1161/ATVBAHA.117.309574" TargetMode="External"/><Relationship Id="rId485" Type="http://schemas.openxmlformats.org/officeDocument/2006/relationships/hyperlink" Target="https://doi.org/10.1016/j.bbrc.2011.04.110" TargetMode="External"/><Relationship Id="rId42" Type="http://schemas.openxmlformats.org/officeDocument/2006/relationships/hyperlink" Target="https://www.ncbi.nlm.nih.gov/pubmed/24529150" TargetMode="External"/><Relationship Id="rId84" Type="http://schemas.openxmlformats.org/officeDocument/2006/relationships/hyperlink" Target="https://www.ncbi.nlm.nih.gov/pubmed/23689639" TargetMode="External"/><Relationship Id="rId138" Type="http://schemas.openxmlformats.org/officeDocument/2006/relationships/hyperlink" Target="https://www.ncbi.nlm.nih.gov/pubmed/24127415" TargetMode="External"/><Relationship Id="rId345" Type="http://schemas.openxmlformats.org/officeDocument/2006/relationships/hyperlink" Target="https://doi.org/10.1007/s10072-017-2930-9" TargetMode="External"/><Relationship Id="rId387" Type="http://schemas.openxmlformats.org/officeDocument/2006/relationships/hyperlink" Target="https://doi.org/10.1016/j.mehy.2007.04.022" TargetMode="External"/><Relationship Id="rId510" Type="http://schemas.openxmlformats.org/officeDocument/2006/relationships/hyperlink" Target="https://www.ncbi.nlm.nih.gov/pubmed/21680896" TargetMode="External"/><Relationship Id="rId191" Type="http://schemas.openxmlformats.org/officeDocument/2006/relationships/hyperlink" Target="https://doi.org/10.1080/15592294.2017.1403692" TargetMode="External"/><Relationship Id="rId205" Type="http://schemas.openxmlformats.org/officeDocument/2006/relationships/hyperlink" Target="https://doi.org/10.1038/nm.4172" TargetMode="External"/><Relationship Id="rId247" Type="http://schemas.openxmlformats.org/officeDocument/2006/relationships/hyperlink" Target="https://doi.org/10.1161/ATV.0000000000000070" TargetMode="External"/><Relationship Id="rId412" Type="http://schemas.openxmlformats.org/officeDocument/2006/relationships/hyperlink" Target="https://www.ncbi.nlm.nih.gov/pubmed/25553467" TargetMode="External"/><Relationship Id="rId107" Type="http://schemas.openxmlformats.org/officeDocument/2006/relationships/hyperlink" Target="https://doi.org/10.1038/srep40994" TargetMode="External"/><Relationship Id="rId289" Type="http://schemas.openxmlformats.org/officeDocument/2006/relationships/hyperlink" Target="https://doi.org/10.1016/j.gene.2018.06.040" TargetMode="External"/><Relationship Id="rId454" Type="http://schemas.openxmlformats.org/officeDocument/2006/relationships/hyperlink" Target="https://www.ncbi.nlm.nih.gov/pubmed/20551377" TargetMode="External"/><Relationship Id="rId496" Type="http://schemas.openxmlformats.org/officeDocument/2006/relationships/hyperlink" Target="https://www.ncbi.nlm.nih.gov/pubmed/22415012" TargetMode="External"/><Relationship Id="rId11" Type="http://schemas.openxmlformats.org/officeDocument/2006/relationships/hyperlink" Target="https://doi.org/10.1016/j.ijcard.2010.02.003" TargetMode="External"/><Relationship Id="rId53" Type="http://schemas.openxmlformats.org/officeDocument/2006/relationships/hyperlink" Target="https://doi.org/10.1161/CIRCULATIONAHA.116.022668" TargetMode="External"/><Relationship Id="rId149" Type="http://schemas.openxmlformats.org/officeDocument/2006/relationships/hyperlink" Target="https://doi.org/10.1161/ATVBAHA.110.221663" TargetMode="External"/><Relationship Id="rId314" Type="http://schemas.openxmlformats.org/officeDocument/2006/relationships/hyperlink" Target="https://www.ncbi.nlm.nih.gov/pubmed/22752444" TargetMode="External"/><Relationship Id="rId356" Type="http://schemas.openxmlformats.org/officeDocument/2006/relationships/hyperlink" Target="https://www.ncbi.nlm.nih.gov/pubmed/31549940" TargetMode="External"/><Relationship Id="rId398" Type="http://schemas.openxmlformats.org/officeDocument/2006/relationships/hyperlink" Target="https://www.ncbi.nlm.nih.gov/pubmed/26099046" TargetMode="External"/><Relationship Id="rId521" Type="http://schemas.openxmlformats.org/officeDocument/2006/relationships/hyperlink" Target="https://doi.org/10.1016/j.atherosclerosis.2015.08.008" TargetMode="External"/><Relationship Id="rId95" Type="http://schemas.openxmlformats.org/officeDocument/2006/relationships/hyperlink" Target="https://doi.org/10.1016/j.imbio.2018.12.005" TargetMode="External"/><Relationship Id="rId160" Type="http://schemas.openxmlformats.org/officeDocument/2006/relationships/hyperlink" Target="https://www.ncbi.nlm.nih.gov/pubmed/30209193" TargetMode="External"/><Relationship Id="rId216" Type="http://schemas.openxmlformats.org/officeDocument/2006/relationships/hyperlink" Target="https://www.ncbi.nlm.nih.gov/pubmed/21384080" TargetMode="External"/><Relationship Id="rId423" Type="http://schemas.openxmlformats.org/officeDocument/2006/relationships/hyperlink" Target="https://doi.org/10.1016/j.dib.2019.103812" TargetMode="External"/><Relationship Id="rId258" Type="http://schemas.openxmlformats.org/officeDocument/2006/relationships/hyperlink" Target="https://www.ncbi.nlm.nih.gov/pubmed/30805961" TargetMode="External"/><Relationship Id="rId465" Type="http://schemas.openxmlformats.org/officeDocument/2006/relationships/hyperlink" Target="https://doi.org/10.1161/ATVBAHA.118.312215" TargetMode="External"/><Relationship Id="rId22" Type="http://schemas.openxmlformats.org/officeDocument/2006/relationships/hyperlink" Target="https://www.ncbi.nlm.nih.gov/pubmed/29745376" TargetMode="External"/><Relationship Id="rId64" Type="http://schemas.openxmlformats.org/officeDocument/2006/relationships/hyperlink" Target="https://www.ncbi.nlm.nih.gov/pubmed/30595385" TargetMode="External"/><Relationship Id="rId118" Type="http://schemas.openxmlformats.org/officeDocument/2006/relationships/hyperlink" Target="https://www.ncbi.nlm.nih.gov/pubmed/28698173" TargetMode="External"/><Relationship Id="rId325" Type="http://schemas.openxmlformats.org/officeDocument/2006/relationships/hyperlink" Target="https://doi.org/10.1038/nm1211" TargetMode="External"/><Relationship Id="rId367" Type="http://schemas.openxmlformats.org/officeDocument/2006/relationships/hyperlink" Target="https://doi.org/10.1016/S0008-6363(96)00102-2" TargetMode="External"/><Relationship Id="rId532" Type="http://schemas.openxmlformats.org/officeDocument/2006/relationships/hyperlink" Target="https://www.ncbi.nlm.nih.gov/pubmed/32577947" TargetMode="External"/><Relationship Id="rId171" Type="http://schemas.openxmlformats.org/officeDocument/2006/relationships/hyperlink" Target="https://doi.org/10.1536/ihj.19-365" TargetMode="External"/><Relationship Id="rId227" Type="http://schemas.openxmlformats.org/officeDocument/2006/relationships/hyperlink" Target="https://doi.org/10.1161/CIRCULATIONAHA.116.026644" TargetMode="External"/><Relationship Id="rId269" Type="http://schemas.openxmlformats.org/officeDocument/2006/relationships/hyperlink" Target="https://doi.org/10.1074/jbc.RA119.008360" TargetMode="External"/><Relationship Id="rId434" Type="http://schemas.openxmlformats.org/officeDocument/2006/relationships/hyperlink" Target="https://www.ncbi.nlm.nih.gov/pubmed/22328194" TargetMode="External"/><Relationship Id="rId476" Type="http://schemas.openxmlformats.org/officeDocument/2006/relationships/hyperlink" Target="https://www.ncbi.nlm.nih.gov/pubmed/23598291" TargetMode="External"/><Relationship Id="rId33" Type="http://schemas.openxmlformats.org/officeDocument/2006/relationships/hyperlink" Target="https://doi.org/10.1016/j.atherosclerosis.2008.05.032" TargetMode="External"/><Relationship Id="rId129" Type="http://schemas.openxmlformats.org/officeDocument/2006/relationships/hyperlink" Target="https://doi.org/10.1093/cvr/cvr260" TargetMode="External"/><Relationship Id="rId280" Type="http://schemas.openxmlformats.org/officeDocument/2006/relationships/hyperlink" Target="https://pubmed.ncbi.nlm.nih.gov/26159489" TargetMode="External"/><Relationship Id="rId336" Type="http://schemas.openxmlformats.org/officeDocument/2006/relationships/hyperlink" Target="https://www.ncbi.nlm.nih.gov/pubmed/20227692" TargetMode="External"/><Relationship Id="rId501" Type="http://schemas.openxmlformats.org/officeDocument/2006/relationships/hyperlink" Target="https://doi.org/10.1002/path.5368" TargetMode="External"/><Relationship Id="rId543" Type="http://schemas.openxmlformats.org/officeDocument/2006/relationships/theme" Target="theme/theme1.xml"/><Relationship Id="rId75" Type="http://schemas.openxmlformats.org/officeDocument/2006/relationships/hyperlink" Target="https://doi.org/10.1016/j.freeradbiomed.2018.02.031" TargetMode="External"/><Relationship Id="rId140" Type="http://schemas.openxmlformats.org/officeDocument/2006/relationships/hyperlink" Target="https://www.ncbi.nlm.nih.gov/pubmed/31061090" TargetMode="External"/><Relationship Id="rId182" Type="http://schemas.openxmlformats.org/officeDocument/2006/relationships/hyperlink" Target="https://www.ncbi.nlm.nih.gov/pubmed/15488868" TargetMode="External"/><Relationship Id="rId378" Type="http://schemas.openxmlformats.org/officeDocument/2006/relationships/hyperlink" Target="https://www.ncbi.nlm.nih.gov/pubmed/15760679" TargetMode="External"/><Relationship Id="rId403" Type="http://schemas.openxmlformats.org/officeDocument/2006/relationships/hyperlink" Target="https://doi.org/10.1016/j.imbio.2020.151940" TargetMode="External"/><Relationship Id="rId6" Type="http://schemas.openxmlformats.org/officeDocument/2006/relationships/endnotes" Target="endnotes.xml"/><Relationship Id="rId238" Type="http://schemas.openxmlformats.org/officeDocument/2006/relationships/hyperlink" Target="https://www.ncbi.nlm.nih.gov/pubmed/31104361" TargetMode="External"/><Relationship Id="rId445" Type="http://schemas.openxmlformats.org/officeDocument/2006/relationships/hyperlink" Target="https://doi.org/10.1161/ATVBAHA.112.301008" TargetMode="External"/><Relationship Id="rId487" Type="http://schemas.openxmlformats.org/officeDocument/2006/relationships/hyperlink" Target="https://doi.org/10.1371/journal.pone.0074642" TargetMode="External"/><Relationship Id="rId291" Type="http://schemas.openxmlformats.org/officeDocument/2006/relationships/hyperlink" Target="https://doi.org/10.1161/CIRCGENETICS.112.963660" TargetMode="External"/><Relationship Id="rId305" Type="http://schemas.openxmlformats.org/officeDocument/2006/relationships/hyperlink" Target="https://doi.org/10.1016/j.omtm.2018.05.003" TargetMode="External"/><Relationship Id="rId347" Type="http://schemas.openxmlformats.org/officeDocument/2006/relationships/hyperlink" Target="https://doi.org/10.1016/j.nucmedbio.2017.01.001" TargetMode="External"/><Relationship Id="rId512" Type="http://schemas.openxmlformats.org/officeDocument/2006/relationships/hyperlink" Target="https://www.ncbi.nlm.nih.gov/pubmed/30354214" TargetMode="External"/><Relationship Id="rId44" Type="http://schemas.openxmlformats.org/officeDocument/2006/relationships/hyperlink" Target="https://www.ncbi.nlm.nih.gov/pubmed/31035637" TargetMode="External"/><Relationship Id="rId86" Type="http://schemas.openxmlformats.org/officeDocument/2006/relationships/hyperlink" Target="https://www.ncbi.nlm.nih.gov/pubmed/28462697" TargetMode="External"/><Relationship Id="rId151" Type="http://schemas.openxmlformats.org/officeDocument/2006/relationships/hyperlink" Target="https://doi.org/10.1111/apha.13037" TargetMode="External"/><Relationship Id="rId389" Type="http://schemas.openxmlformats.org/officeDocument/2006/relationships/hyperlink" Target="https://doi.org/10.1159/000503287" TargetMode="External"/><Relationship Id="rId193" Type="http://schemas.openxmlformats.org/officeDocument/2006/relationships/hyperlink" Target="https://doi.org/10.1161/01.ATV.0000238346.84458.5d" TargetMode="External"/><Relationship Id="rId207" Type="http://schemas.openxmlformats.org/officeDocument/2006/relationships/hyperlink" Target="https://doi.org/10.1093/cvr/cvp380" TargetMode="External"/><Relationship Id="rId249" Type="http://schemas.openxmlformats.org/officeDocument/2006/relationships/hyperlink" Target="https://doi.org/10.1007/s00125-011-2308-0" TargetMode="External"/><Relationship Id="rId414" Type="http://schemas.openxmlformats.org/officeDocument/2006/relationships/hyperlink" Target="https://www.ncbi.nlm.nih.gov/pubmed/21672356" TargetMode="External"/><Relationship Id="rId456" Type="http://schemas.openxmlformats.org/officeDocument/2006/relationships/hyperlink" Target="https://www.ncbi.nlm.nih.gov/pubmed/11742877" TargetMode="External"/><Relationship Id="rId498" Type="http://schemas.openxmlformats.org/officeDocument/2006/relationships/hyperlink" Target="https://www.ncbi.nlm.nih.gov/pubmed/23523156" TargetMode="External"/><Relationship Id="rId13" Type="http://schemas.openxmlformats.org/officeDocument/2006/relationships/hyperlink" Target="https://doi.org/10.1161/CIRCULATIONAHA.118.038439" TargetMode="External"/><Relationship Id="rId109" Type="http://schemas.openxmlformats.org/officeDocument/2006/relationships/hyperlink" Target="https://doi.org/10.1042/CS20180033" TargetMode="External"/><Relationship Id="rId260" Type="http://schemas.openxmlformats.org/officeDocument/2006/relationships/hyperlink" Target="https://www.ncbi.nlm.nih.gov/pubmed/30087322" TargetMode="External"/><Relationship Id="rId316" Type="http://schemas.openxmlformats.org/officeDocument/2006/relationships/hyperlink" Target="https://www.ncbi.nlm.nih.gov/pubmed/27180261" TargetMode="External"/><Relationship Id="rId523" Type="http://schemas.openxmlformats.org/officeDocument/2006/relationships/hyperlink" Target="https://doi.org/10.1016/j.ijcard.2012.04.148" TargetMode="External"/><Relationship Id="rId55" Type="http://schemas.openxmlformats.org/officeDocument/2006/relationships/hyperlink" Target="https://doi.org/10.1021/acs.jproteome.7b00828" TargetMode="External"/><Relationship Id="rId97" Type="http://schemas.openxmlformats.org/officeDocument/2006/relationships/hyperlink" Target="https://doi.org/10.1161/01.RES.0000250556.07796.6c" TargetMode="External"/><Relationship Id="rId120" Type="http://schemas.openxmlformats.org/officeDocument/2006/relationships/hyperlink" Target="https://www.ncbi.nlm.nih.gov/pubmed/19325144" TargetMode="External"/><Relationship Id="rId358" Type="http://schemas.openxmlformats.org/officeDocument/2006/relationships/hyperlink" Target="https://www.ncbi.nlm.nih.gov/pubmed/20466976" TargetMode="External"/><Relationship Id="rId162" Type="http://schemas.openxmlformats.org/officeDocument/2006/relationships/hyperlink" Target="https://www.ncbi.nlm.nih.gov/pubmed/28760743" TargetMode="External"/><Relationship Id="rId218" Type="http://schemas.openxmlformats.org/officeDocument/2006/relationships/hyperlink" Target="https://www.ncbi.nlm.nih.gov/pubmed/23417039" TargetMode="External"/><Relationship Id="rId425" Type="http://schemas.openxmlformats.org/officeDocument/2006/relationships/hyperlink" Target="https://doi.org/10.1038/s41588-019-0514-8" TargetMode="External"/><Relationship Id="rId467" Type="http://schemas.openxmlformats.org/officeDocument/2006/relationships/hyperlink" Target="https://doi.org/10.1093/eurheartj/ehr245" TargetMode="External"/><Relationship Id="rId271" Type="http://schemas.openxmlformats.org/officeDocument/2006/relationships/hyperlink" Target="https://doi.org/10.1016/S0008-6363(02)00832-5" TargetMode="External"/><Relationship Id="rId24" Type="http://schemas.openxmlformats.org/officeDocument/2006/relationships/hyperlink" Target="https://pubmed.ncbi.nlm.nih.gov/31143972" TargetMode="External"/><Relationship Id="rId66" Type="http://schemas.openxmlformats.org/officeDocument/2006/relationships/hyperlink" Target="https://www.ncbi.nlm.nih.gov/pubmed/31048182" TargetMode="External"/><Relationship Id="rId131" Type="http://schemas.openxmlformats.org/officeDocument/2006/relationships/hyperlink" Target="https://doi.org/10.7150/thno.36862" TargetMode="External"/><Relationship Id="rId327" Type="http://schemas.openxmlformats.org/officeDocument/2006/relationships/hyperlink" Target="https://doi.org/10.1016/j.mehy.2011.01.014" TargetMode="External"/><Relationship Id="rId369" Type="http://schemas.openxmlformats.org/officeDocument/2006/relationships/hyperlink" Target="https://doi.org/10.18632/aging.101470" TargetMode="External"/><Relationship Id="rId534" Type="http://schemas.openxmlformats.org/officeDocument/2006/relationships/hyperlink" Target="https://www.ncbi.nlm.nih.gov/pubmed/30643084" TargetMode="External"/><Relationship Id="rId173" Type="http://schemas.openxmlformats.org/officeDocument/2006/relationships/hyperlink" Target="https://doi.org/10.1093/cvr/cvw231" TargetMode="External"/><Relationship Id="rId229" Type="http://schemas.openxmlformats.org/officeDocument/2006/relationships/hyperlink" Target="https://doi.org/10.1016/j.atherosclerosis.2017.02.018" TargetMode="External"/><Relationship Id="rId380" Type="http://schemas.openxmlformats.org/officeDocument/2006/relationships/hyperlink" Target="https://www.ncbi.nlm.nih.gov/pubmed/24647144" TargetMode="External"/><Relationship Id="rId436" Type="http://schemas.openxmlformats.org/officeDocument/2006/relationships/hyperlink" Target="https://www.ncbi.nlm.nih.gov/pubmed/27736672" TargetMode="External"/><Relationship Id="rId240" Type="http://schemas.openxmlformats.org/officeDocument/2006/relationships/hyperlink" Target="https://www.ncbi.nlm.nih.gov/pubmed/23839109" TargetMode="External"/><Relationship Id="rId478" Type="http://schemas.openxmlformats.org/officeDocument/2006/relationships/hyperlink" Target="https://www.ncbi.nlm.nih.gov/pubmed/29593730" TargetMode="External"/><Relationship Id="rId35" Type="http://schemas.openxmlformats.org/officeDocument/2006/relationships/hyperlink" Target="https://doi.org/10.1161/ATVBAHA.111.229765" TargetMode="External"/><Relationship Id="rId77" Type="http://schemas.openxmlformats.org/officeDocument/2006/relationships/hyperlink" Target="https://doi.org/10.1007/s00395-011-0191-y" TargetMode="External"/><Relationship Id="rId100" Type="http://schemas.openxmlformats.org/officeDocument/2006/relationships/hyperlink" Target="https://www.ncbi.nlm.nih.gov/pubmed/29518394" TargetMode="External"/><Relationship Id="rId282" Type="http://schemas.openxmlformats.org/officeDocument/2006/relationships/hyperlink" Target="https://www.ncbi.nlm.nih.gov/pubmed/11252722" TargetMode="External"/><Relationship Id="rId338" Type="http://schemas.openxmlformats.org/officeDocument/2006/relationships/hyperlink" Target="https://www.ncbi.nlm.nih.gov/pubmed/20020510" TargetMode="External"/><Relationship Id="rId503" Type="http://schemas.openxmlformats.org/officeDocument/2006/relationships/hyperlink" Target="https://doi.org/10.1016/j.atherosclerosis.2007.05.018" TargetMode="External"/><Relationship Id="rId8" Type="http://schemas.openxmlformats.org/officeDocument/2006/relationships/hyperlink" Target="https://www.ncbi.nlm.nih.gov/pubmed/25484082" TargetMode="External"/><Relationship Id="rId142" Type="http://schemas.openxmlformats.org/officeDocument/2006/relationships/hyperlink" Target="https://www.ncbi.nlm.nih.gov/pubmed/25212236" TargetMode="External"/><Relationship Id="rId184" Type="http://schemas.openxmlformats.org/officeDocument/2006/relationships/hyperlink" Target="https://www.ncbi.nlm.nih.gov/pubmed/25882065" TargetMode="External"/><Relationship Id="rId391" Type="http://schemas.openxmlformats.org/officeDocument/2006/relationships/hyperlink" Target="https://doi.org/10.1038/s41598-019-54877-6" TargetMode="External"/><Relationship Id="rId405" Type="http://schemas.openxmlformats.org/officeDocument/2006/relationships/hyperlink" Target="https://doi.org/10.1161/ATVBAHA.115.306991" TargetMode="External"/><Relationship Id="rId447" Type="http://schemas.openxmlformats.org/officeDocument/2006/relationships/hyperlink" Target="https://doi.org/10.1074/jbc.M110.117481" TargetMode="External"/><Relationship Id="rId251" Type="http://schemas.openxmlformats.org/officeDocument/2006/relationships/hyperlink" Target="https://doi.org/10.1371/journal.pone.0136414" TargetMode="External"/><Relationship Id="rId489" Type="http://schemas.openxmlformats.org/officeDocument/2006/relationships/hyperlink" Target="https://doi.org/10.1161/hc3901.096721" TargetMode="External"/><Relationship Id="rId46" Type="http://schemas.openxmlformats.org/officeDocument/2006/relationships/hyperlink" Target="https://www.ncbi.nlm.nih.gov/pubmed/26742467" TargetMode="External"/><Relationship Id="rId293" Type="http://schemas.openxmlformats.org/officeDocument/2006/relationships/hyperlink" Target="https://doi.org/10.1161/CIRCULATIONAHA.105.561449" TargetMode="External"/><Relationship Id="rId307" Type="http://schemas.openxmlformats.org/officeDocument/2006/relationships/hyperlink" Target="https://doi.org/10.1161/ATVBAHA.115.306983" TargetMode="External"/><Relationship Id="rId349" Type="http://schemas.openxmlformats.org/officeDocument/2006/relationships/hyperlink" Target="https://doi.org/10.1093/cvr/cvz129" TargetMode="External"/><Relationship Id="rId514" Type="http://schemas.openxmlformats.org/officeDocument/2006/relationships/hyperlink" Target="https://www.ncbi.nlm.nih.gov/pubmed/27236706"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44</Pages>
  <Words>20394</Words>
  <Characters>116251</Characters>
  <Application>Microsoft Office Word</Application>
  <DocSecurity>0</DocSecurity>
  <Lines>968</Lines>
  <Paragraphs>272</Paragraphs>
  <ScaleCrop>false</ScaleCrop>
  <Company/>
  <LinksUpToDate>false</LinksUpToDate>
  <CharactersWithSpaces>136373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guanfeng</dc:creator>
  <cp:keywords/>
  <dc:description/>
  <cp:lastModifiedBy>Badri</cp:lastModifiedBy>
  <cp:revision>10</cp:revision>
  <dcterms:created xsi:type="dcterms:W3CDTF">2020-09-06T05:53:00Z</dcterms:created>
  <dcterms:modified xsi:type="dcterms:W3CDTF">2021-01-16T15:03:00Z</dcterms:modified>
</cp:coreProperties>
</file>