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DDF03" w14:textId="78E82AF7" w:rsidR="00A058AA" w:rsidRDefault="0098487B" w:rsidP="00A058AA">
      <w:pPr>
        <w:widowControl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12091317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A058A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FB547D">
        <w:rPr>
          <w:rFonts w:ascii="Times New Roman" w:hAnsi="Times New Roman" w:cs="Times New Roman"/>
          <w:b/>
          <w:sz w:val="24"/>
          <w:szCs w:val="24"/>
        </w:rPr>
        <w:t>1</w:t>
      </w:r>
      <w:bookmarkStart w:id="1" w:name="_GoBack"/>
      <w:bookmarkEnd w:id="1"/>
      <w:r w:rsidR="00A058AA">
        <w:rPr>
          <w:rFonts w:ascii="Times New Roman" w:hAnsi="Times New Roman" w:cs="Times New Roman"/>
          <w:b/>
          <w:sz w:val="24"/>
          <w:szCs w:val="24"/>
        </w:rPr>
        <w:t>. Characteristics of studies included in the meta-analysis for association between prenatal air pollution and risk of hypospadias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98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464"/>
        <w:gridCol w:w="1938"/>
        <w:gridCol w:w="1275"/>
        <w:gridCol w:w="2127"/>
        <w:gridCol w:w="1842"/>
        <w:gridCol w:w="993"/>
        <w:gridCol w:w="1038"/>
        <w:gridCol w:w="663"/>
        <w:gridCol w:w="1322"/>
        <w:gridCol w:w="959"/>
      </w:tblGrid>
      <w:tr w:rsidR="00A058AA" w14:paraId="03A48414" w14:textId="77777777" w:rsidTr="00360C08">
        <w:trPr>
          <w:trHeight w:val="562"/>
          <w:jc w:val="center"/>
        </w:trPr>
        <w:tc>
          <w:tcPr>
            <w:tcW w:w="2364" w:type="dxa"/>
            <w:vMerge w:val="restart"/>
            <w:vAlign w:val="center"/>
          </w:tcPr>
          <w:p w14:paraId="56C13674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Author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 </w:t>
            </w: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[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Ref</w:t>
            </w: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 xml:space="preserve">] 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(</w:t>
            </w: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year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);</w:t>
            </w:r>
          </w:p>
          <w:p w14:paraId="4D52DB1A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Study location</w:t>
            </w:r>
          </w:p>
          <w:p w14:paraId="7EAC61E9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(time period)</w:t>
            </w:r>
          </w:p>
        </w:tc>
        <w:tc>
          <w:tcPr>
            <w:tcW w:w="1464" w:type="dxa"/>
            <w:vMerge w:val="restart"/>
            <w:vAlign w:val="center"/>
          </w:tcPr>
          <w:p w14:paraId="3635364F" w14:textId="1434C406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Study design</w:t>
            </w:r>
            <w:r w:rsidR="00E550B7"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/level of evidence</w:t>
            </w:r>
          </w:p>
        </w:tc>
        <w:tc>
          <w:tcPr>
            <w:tcW w:w="1938" w:type="dxa"/>
            <w:vMerge w:val="restart"/>
            <w:vAlign w:val="center"/>
          </w:tcPr>
          <w:p w14:paraId="3271488C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Sample size</w:t>
            </w:r>
          </w:p>
        </w:tc>
        <w:tc>
          <w:tcPr>
            <w:tcW w:w="5244" w:type="dxa"/>
            <w:gridSpan w:val="3"/>
            <w:vAlign w:val="center"/>
          </w:tcPr>
          <w:p w14:paraId="3EF8E027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Exposure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 characteristic</w:t>
            </w:r>
          </w:p>
        </w:tc>
        <w:tc>
          <w:tcPr>
            <w:tcW w:w="4975" w:type="dxa"/>
            <w:gridSpan w:val="5"/>
            <w:vAlign w:val="center"/>
          </w:tcPr>
          <w:p w14:paraId="6CBC01F8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Main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 </w:t>
            </w: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findings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 (</w:t>
            </w: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hypospadias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/ </w:t>
            </w: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hypospadias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 and epispadias)</w:t>
            </w:r>
          </w:p>
        </w:tc>
      </w:tr>
      <w:tr w:rsidR="00A058AA" w14:paraId="78B75700" w14:textId="77777777" w:rsidTr="00782658">
        <w:trPr>
          <w:trHeight w:val="562"/>
          <w:jc w:val="center"/>
        </w:trPr>
        <w:tc>
          <w:tcPr>
            <w:tcW w:w="2364" w:type="dxa"/>
            <w:vMerge/>
            <w:vAlign w:val="center"/>
          </w:tcPr>
          <w:p w14:paraId="596BA5D7" w14:textId="77777777" w:rsidR="00A058AA" w:rsidRPr="00782658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1C61A40" w14:textId="77777777" w:rsidR="00A058AA" w:rsidRPr="00782658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7E9C75D" w14:textId="77777777" w:rsidR="00A058AA" w:rsidRPr="00782658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922AE0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Window</w:t>
            </w:r>
          </w:p>
        </w:tc>
        <w:tc>
          <w:tcPr>
            <w:tcW w:w="2127" w:type="dxa"/>
            <w:vAlign w:val="center"/>
          </w:tcPr>
          <w:p w14:paraId="2883C964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Assessment</w:t>
            </w:r>
          </w:p>
        </w:tc>
        <w:tc>
          <w:tcPr>
            <w:tcW w:w="1842" w:type="dxa"/>
            <w:vAlign w:val="center"/>
          </w:tcPr>
          <w:p w14:paraId="62D1B806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>Exposure</w:t>
            </w:r>
          </w:p>
        </w:tc>
        <w:tc>
          <w:tcPr>
            <w:tcW w:w="993" w:type="dxa"/>
            <w:vAlign w:val="center"/>
          </w:tcPr>
          <w:p w14:paraId="228DAEF3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Positive</w:t>
            </w:r>
          </w:p>
        </w:tc>
        <w:tc>
          <w:tcPr>
            <w:tcW w:w="1038" w:type="dxa"/>
            <w:vAlign w:val="center"/>
          </w:tcPr>
          <w:p w14:paraId="307D61EA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Negative</w:t>
            </w:r>
          </w:p>
        </w:tc>
        <w:tc>
          <w:tcPr>
            <w:tcW w:w="663" w:type="dxa"/>
            <w:vAlign w:val="center"/>
          </w:tcPr>
          <w:p w14:paraId="55222C57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Null</w:t>
            </w:r>
          </w:p>
        </w:tc>
        <w:tc>
          <w:tcPr>
            <w:tcW w:w="1322" w:type="dxa"/>
            <w:vAlign w:val="center"/>
          </w:tcPr>
          <w:p w14:paraId="1B0BF9BF" w14:textId="77777777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Significant</w:t>
            </w:r>
          </w:p>
        </w:tc>
        <w:tc>
          <w:tcPr>
            <w:tcW w:w="959" w:type="dxa"/>
            <w:vAlign w:val="center"/>
          </w:tcPr>
          <w:p w14:paraId="3578DCB2" w14:textId="7D2B1596" w:rsidR="00A058AA" w:rsidRPr="00782658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Not</w:t>
            </w:r>
            <w:r w:rsidR="00782658">
              <w:rPr>
                <w:rFonts w:ascii="Times New Roman" w:eastAsia="SimSun" w:hAnsi="Times New Roman" w:cs="Times New Roman"/>
                <w:b/>
                <w:bCs/>
                <w:szCs w:val="21"/>
              </w:rPr>
              <w:t xml:space="preserve"> </w:t>
            </w:r>
            <w:r w:rsidR="00A0089D">
              <w:rPr>
                <w:rFonts w:ascii="Times New Roman" w:eastAsia="SimSun" w:hAnsi="Times New Roman" w:cs="Times New Roman"/>
                <w:b/>
                <w:bCs/>
                <w:szCs w:val="21"/>
              </w:rPr>
              <w:t>S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ignifi</w:t>
            </w:r>
            <w:r w:rsidR="005069CB">
              <w:rPr>
                <w:rFonts w:ascii="Times New Roman" w:eastAsia="SimSun" w:hAnsi="Times New Roman" w:cs="Times New Roman"/>
                <w:b/>
                <w:bCs/>
                <w:szCs w:val="21"/>
              </w:rPr>
              <w:t>-</w:t>
            </w:r>
            <w:r w:rsidRPr="00782658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cant</w:t>
            </w:r>
          </w:p>
        </w:tc>
      </w:tr>
      <w:tr w:rsidR="00A058AA" w14:paraId="76E4009C" w14:textId="77777777" w:rsidTr="00782658">
        <w:trPr>
          <w:trHeight w:val="1140"/>
          <w:jc w:val="center"/>
        </w:trPr>
        <w:tc>
          <w:tcPr>
            <w:tcW w:w="2364" w:type="dxa"/>
            <w:vAlign w:val="center"/>
          </w:tcPr>
          <w:p w14:paraId="2C91A000" w14:textId="7333804B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Dolk et al.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</w:t>
            </w:r>
            <w:r w:rsidR="00FE43AE"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23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]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(1998)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; </w:t>
            </w:r>
            <w:r>
              <w:rPr>
                <w:rFonts w:ascii="Times New Roman" w:eastAsia="SimSun" w:hAnsi="Times New Roman" w:cs="Times New Roman"/>
                <w:szCs w:val="21"/>
              </w:rPr>
              <w:t>Multi-Europe countries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(1982-1994)</w:t>
            </w:r>
          </w:p>
        </w:tc>
        <w:tc>
          <w:tcPr>
            <w:tcW w:w="1464" w:type="dxa"/>
            <w:vAlign w:val="center"/>
          </w:tcPr>
          <w:p w14:paraId="69B3E35C" w14:textId="042D5DD8" w:rsidR="00A058AA" w:rsidRDefault="00A058AA" w:rsidP="00E550B7">
            <w:pPr>
              <w:jc w:val="center"/>
              <w:rPr>
                <w:rFonts w:ascii="Calibri" w:eastAsia="SimSun" w:hAnsi="Calibri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550B7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Align w:val="center"/>
          </w:tcPr>
          <w:p w14:paraId="3526259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Cases: 45</w:t>
            </w:r>
          </w:p>
          <w:p w14:paraId="137C5A7D" w14:textId="77777777" w:rsidR="00A058AA" w:rsidRDefault="00A058AA" w:rsidP="00E550B7">
            <w:pPr>
              <w:jc w:val="center"/>
              <w:rPr>
                <w:rFonts w:ascii="Calibri" w:eastAsia="SimSun" w:hAnsi="Calibri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ontrols: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2366</w:t>
            </w:r>
          </w:p>
        </w:tc>
        <w:tc>
          <w:tcPr>
            <w:tcW w:w="1275" w:type="dxa"/>
            <w:vAlign w:val="center"/>
          </w:tcPr>
          <w:p w14:paraId="24A817F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Prenatal</w:t>
            </w:r>
          </w:p>
        </w:tc>
        <w:tc>
          <w:tcPr>
            <w:tcW w:w="2127" w:type="dxa"/>
            <w:vAlign w:val="center"/>
          </w:tcPr>
          <w:p w14:paraId="5FAC658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istance between the place of residence and the landfill sites</w:t>
            </w:r>
          </w:p>
        </w:tc>
        <w:tc>
          <w:tcPr>
            <w:tcW w:w="1842" w:type="dxa"/>
            <w:vAlign w:val="center"/>
          </w:tcPr>
          <w:p w14:paraId="73BFBD1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andfill sites</w:t>
            </w:r>
          </w:p>
        </w:tc>
        <w:tc>
          <w:tcPr>
            <w:tcW w:w="993" w:type="dxa"/>
            <w:vAlign w:val="center"/>
          </w:tcPr>
          <w:p w14:paraId="1DC6EFE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3EE602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AECE12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C86C5E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963DB6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B8BCF24" w14:textId="77777777" w:rsidTr="00782658">
        <w:trPr>
          <w:trHeight w:val="399"/>
          <w:jc w:val="center"/>
        </w:trPr>
        <w:tc>
          <w:tcPr>
            <w:tcW w:w="2364" w:type="dxa"/>
            <w:vMerge w:val="restart"/>
            <w:vAlign w:val="center"/>
          </w:tcPr>
          <w:p w14:paraId="23F861DA" w14:textId="2D7B6DE4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Elliott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et al.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</w:t>
            </w:r>
            <w:r w:rsidR="00FE43AE"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24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]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(2001); </w:t>
            </w:r>
            <w:r>
              <w:rPr>
                <w:rFonts w:ascii="Times New Roman" w:eastAsia="SimSun" w:hAnsi="Times New Roman" w:cs="Times New Roman"/>
                <w:szCs w:val="21"/>
              </w:rPr>
              <w:t>Great Britain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</w:p>
          <w:p w14:paraId="0ACEA15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(1982-1997)</w:t>
            </w:r>
          </w:p>
        </w:tc>
        <w:tc>
          <w:tcPr>
            <w:tcW w:w="1464" w:type="dxa"/>
            <w:vMerge w:val="restart"/>
            <w:vAlign w:val="center"/>
          </w:tcPr>
          <w:p w14:paraId="34115D54" w14:textId="3A45FED3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550B7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Merge w:val="restart"/>
            <w:vAlign w:val="center"/>
          </w:tcPr>
          <w:p w14:paraId="1936329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ases: N/A</w:t>
            </w:r>
          </w:p>
          <w:p w14:paraId="4F40755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Controls: N/A</w:t>
            </w:r>
          </w:p>
        </w:tc>
        <w:tc>
          <w:tcPr>
            <w:tcW w:w="1275" w:type="dxa"/>
            <w:vMerge w:val="restart"/>
            <w:vAlign w:val="center"/>
          </w:tcPr>
          <w:p w14:paraId="76E38A2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Prenatal</w:t>
            </w:r>
          </w:p>
        </w:tc>
        <w:tc>
          <w:tcPr>
            <w:tcW w:w="2127" w:type="dxa"/>
            <w:vMerge w:val="restart"/>
            <w:vAlign w:val="center"/>
          </w:tcPr>
          <w:p w14:paraId="12384022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Poisson regression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model</w:t>
            </w:r>
          </w:p>
        </w:tc>
        <w:tc>
          <w:tcPr>
            <w:tcW w:w="1842" w:type="dxa"/>
            <w:vMerge w:val="restart"/>
            <w:vAlign w:val="center"/>
          </w:tcPr>
          <w:p w14:paraId="130107EF" w14:textId="77777777" w:rsidR="00A058AA" w:rsidRDefault="00A058AA" w:rsidP="00E550B7">
            <w:pPr>
              <w:ind w:hanging="108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Near landfill</w:t>
            </w:r>
          </w:p>
          <w:p w14:paraId="299A1C6A" w14:textId="77777777" w:rsidR="00A058AA" w:rsidRDefault="00A058AA" w:rsidP="00E550B7">
            <w:pPr>
              <w:ind w:hanging="108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(&lt;2 km)</w:t>
            </w:r>
          </w:p>
          <w:p w14:paraId="1840D804" w14:textId="77777777" w:rsidR="00A058AA" w:rsidRDefault="00A058AA" w:rsidP="00E550B7">
            <w:pPr>
              <w:ind w:hanging="108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All wastes</w:t>
            </w:r>
          </w:p>
          <w:p w14:paraId="0AABCC33" w14:textId="77777777" w:rsidR="00A058AA" w:rsidRDefault="00A058AA" w:rsidP="00E550B7">
            <w:pPr>
              <w:ind w:hanging="108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Special waste</w:t>
            </w:r>
          </w:p>
          <w:p w14:paraId="7BC58396" w14:textId="77777777" w:rsidR="00A058AA" w:rsidRDefault="00A058AA" w:rsidP="00E550B7">
            <w:pPr>
              <w:ind w:hanging="108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Non-special waste</w:t>
            </w:r>
          </w:p>
        </w:tc>
        <w:tc>
          <w:tcPr>
            <w:tcW w:w="993" w:type="dxa"/>
            <w:vAlign w:val="center"/>
          </w:tcPr>
          <w:p w14:paraId="6356012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576681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A83318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6103B3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67BBD29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308931C6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2D96667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DE549D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04E341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3321E2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4BC251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0E802E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FC3409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090B17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9F45A2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E3347A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1051E34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354CCC6" w14:textId="77777777" w:rsidTr="00782658">
        <w:trPr>
          <w:trHeight w:val="237"/>
          <w:jc w:val="center"/>
        </w:trPr>
        <w:tc>
          <w:tcPr>
            <w:tcW w:w="2364" w:type="dxa"/>
            <w:vMerge/>
            <w:vAlign w:val="center"/>
          </w:tcPr>
          <w:p w14:paraId="1A4752F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D47C0D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4BE383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07FB20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DDEAAA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32450A1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DA16DF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503C95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D4FBBB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6E11C4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450747A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16C8863E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2740B27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80BD76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9533F2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9AB29A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66A3EE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34FB8C6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145B0D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99D2F9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E38BD9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1CEAAC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507AEC4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542C6418" w14:textId="77777777" w:rsidTr="00782658">
        <w:trPr>
          <w:trHeight w:val="1858"/>
          <w:jc w:val="center"/>
        </w:trPr>
        <w:tc>
          <w:tcPr>
            <w:tcW w:w="2364" w:type="dxa"/>
            <w:vAlign w:val="center"/>
          </w:tcPr>
          <w:p w14:paraId="25D2AF73" w14:textId="29FA7AE8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Morris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et al.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</w:t>
            </w:r>
            <w:r w:rsidR="00FE43AE"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25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]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(2003); </w:t>
            </w:r>
            <w:r>
              <w:rPr>
                <w:rFonts w:ascii="Times New Roman" w:eastAsia="SimSun" w:hAnsi="Times New Roman" w:cs="Times New Roman"/>
                <w:szCs w:val="21"/>
              </w:rPr>
              <w:t>Scotland.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</w:p>
          <w:p w14:paraId="1EA187B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(1993-1995)</w:t>
            </w:r>
          </w:p>
        </w:tc>
        <w:tc>
          <w:tcPr>
            <w:tcW w:w="1464" w:type="dxa"/>
            <w:vAlign w:val="center"/>
          </w:tcPr>
          <w:p w14:paraId="35E09FD8" w14:textId="2A4DBC8B" w:rsidR="00A058AA" w:rsidRDefault="00A058AA" w:rsidP="00E550B7">
            <w:pPr>
              <w:jc w:val="center"/>
              <w:rPr>
                <w:rFonts w:ascii="Calibri" w:eastAsia="SimSun" w:hAnsi="Calibri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550B7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Align w:val="center"/>
          </w:tcPr>
          <w:p w14:paraId="056100EE" w14:textId="33F008E0" w:rsidR="00A058AA" w:rsidRDefault="00A058AA" w:rsidP="00E550B7">
            <w:pPr>
              <w:jc w:val="center"/>
              <w:rPr>
                <w:rFonts w:ascii="Calibri" w:eastAsia="SimSun" w:hAnsi="Calibri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ases: N/A</w:t>
            </w:r>
            <w:r w:rsidR="00360C08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Controls: N/A</w:t>
            </w:r>
          </w:p>
        </w:tc>
        <w:tc>
          <w:tcPr>
            <w:tcW w:w="1275" w:type="dxa"/>
            <w:vAlign w:val="center"/>
          </w:tcPr>
          <w:p w14:paraId="756D6DA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Prenatal</w:t>
            </w:r>
          </w:p>
        </w:tc>
        <w:tc>
          <w:tcPr>
            <w:tcW w:w="2127" w:type="dxa"/>
            <w:vAlign w:val="center"/>
          </w:tcPr>
          <w:p w14:paraId="021536B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Poisson regression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model</w:t>
            </w:r>
          </w:p>
        </w:tc>
        <w:tc>
          <w:tcPr>
            <w:tcW w:w="1842" w:type="dxa"/>
            <w:vAlign w:val="center"/>
          </w:tcPr>
          <w:p w14:paraId="02E05B5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&lt; 2 km from a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SimSun" w:hAnsi="Times New Roman" w:cs="Times New Roman"/>
                <w:szCs w:val="21"/>
              </w:rPr>
              <w:t>pecial waste site</w:t>
            </w:r>
          </w:p>
        </w:tc>
        <w:tc>
          <w:tcPr>
            <w:tcW w:w="993" w:type="dxa"/>
            <w:vAlign w:val="center"/>
          </w:tcPr>
          <w:p w14:paraId="741D5BD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55A522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150D58F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C1BA0B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AF0D51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8AF69CF" w14:textId="77777777" w:rsidTr="00782658">
        <w:trPr>
          <w:trHeight w:val="2070"/>
          <w:jc w:val="center"/>
        </w:trPr>
        <w:tc>
          <w:tcPr>
            <w:tcW w:w="2364" w:type="dxa"/>
            <w:vAlign w:val="center"/>
          </w:tcPr>
          <w:p w14:paraId="4608CD27" w14:textId="2B72C633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Cordier et al.</w:t>
            </w:r>
            <w:r w:rsidRPr="005A285C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</w:t>
            </w:r>
            <w:r w:rsidR="00FE43AE"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26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]</w:t>
            </w:r>
            <w:r w:rsidRPr="005A285C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(2004)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France</w:t>
            </w:r>
          </w:p>
          <w:p w14:paraId="5AB3223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(1988-1997)</w:t>
            </w:r>
          </w:p>
        </w:tc>
        <w:tc>
          <w:tcPr>
            <w:tcW w:w="1464" w:type="dxa"/>
            <w:vAlign w:val="center"/>
          </w:tcPr>
          <w:p w14:paraId="25356C88" w14:textId="0346FCD0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550B7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Align w:val="center"/>
          </w:tcPr>
          <w:p w14:paraId="0D91663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ase</w:t>
            </w:r>
            <w:r>
              <w:rPr>
                <w:rFonts w:ascii="Times New Roman" w:eastAsia="SimSun" w:hAnsi="Times New Roman" w:cs="Times New Roman"/>
                <w:szCs w:val="21"/>
              </w:rPr>
              <w:t>s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: </w:t>
            </w:r>
            <w:r>
              <w:rPr>
                <w:rFonts w:ascii="Times New Roman" w:eastAsia="SimSun" w:hAnsi="Times New Roman" w:cs="Times New Roman"/>
                <w:szCs w:val="21"/>
              </w:rPr>
              <w:t>communities exposed:78</w:t>
            </w:r>
          </w:p>
          <w:p w14:paraId="1E0BFAE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unexposed: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364</w:t>
            </w:r>
          </w:p>
          <w:p w14:paraId="4CA5CB2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ontrols: N/A</w:t>
            </w:r>
          </w:p>
        </w:tc>
        <w:tc>
          <w:tcPr>
            <w:tcW w:w="1275" w:type="dxa"/>
            <w:vAlign w:val="center"/>
          </w:tcPr>
          <w:p w14:paraId="0F6FA9C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</w:t>
            </w:r>
            <w:r>
              <w:rPr>
                <w:rFonts w:ascii="Times New Roman" w:eastAsia="SimSun" w:hAnsi="Times New Roman" w:cs="Times New Roman"/>
                <w:szCs w:val="21"/>
              </w:rPr>
              <w:t>renatal</w:t>
            </w:r>
          </w:p>
        </w:tc>
        <w:tc>
          <w:tcPr>
            <w:tcW w:w="2127" w:type="dxa"/>
            <w:vAlign w:val="center"/>
          </w:tcPr>
          <w:p w14:paraId="49D2095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Expert assessments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to construct a semi-quantitative estimate of the emissions</w:t>
            </w:r>
          </w:p>
        </w:tc>
        <w:tc>
          <w:tcPr>
            <w:tcW w:w="1842" w:type="dxa"/>
            <w:vAlign w:val="center"/>
          </w:tcPr>
          <w:p w14:paraId="19BE4A9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MSWI emissions</w:t>
            </w:r>
          </w:p>
        </w:tc>
        <w:tc>
          <w:tcPr>
            <w:tcW w:w="993" w:type="dxa"/>
            <w:vAlign w:val="center"/>
          </w:tcPr>
          <w:p w14:paraId="343F7A5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245110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2EAB26F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701A68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55E2B4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8DD9615" w14:textId="77777777" w:rsidTr="00782658">
        <w:trPr>
          <w:trHeight w:hRule="exact" w:val="397"/>
          <w:jc w:val="center"/>
        </w:trPr>
        <w:tc>
          <w:tcPr>
            <w:tcW w:w="2364" w:type="dxa"/>
            <w:vMerge w:val="restart"/>
            <w:vAlign w:val="center"/>
          </w:tcPr>
          <w:p w14:paraId="5C7AFF51" w14:textId="01FDF42A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Padula et al.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</w:t>
            </w:r>
            <w:r w:rsidR="00FE43AE"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27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]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(2013)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San Joaquin Valley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(1997-2006)</w:t>
            </w:r>
          </w:p>
        </w:tc>
        <w:tc>
          <w:tcPr>
            <w:tcW w:w="1464" w:type="dxa"/>
            <w:vMerge w:val="restart"/>
            <w:vAlign w:val="center"/>
          </w:tcPr>
          <w:p w14:paraId="75A1AD73" w14:textId="555D62A5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550B7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Merge w:val="restart"/>
            <w:vAlign w:val="center"/>
          </w:tcPr>
          <w:p w14:paraId="56880B9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 67</w:t>
            </w:r>
          </w:p>
          <w:p w14:paraId="3C32632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ontrols: 443</w:t>
            </w:r>
          </w:p>
        </w:tc>
        <w:tc>
          <w:tcPr>
            <w:tcW w:w="1275" w:type="dxa"/>
            <w:vMerge w:val="restart"/>
            <w:vAlign w:val="center"/>
          </w:tcPr>
          <w:p w14:paraId="7413605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First 2 months of pregnancy</w:t>
            </w:r>
          </w:p>
        </w:tc>
        <w:tc>
          <w:tcPr>
            <w:tcW w:w="2127" w:type="dxa"/>
            <w:vMerge w:val="restart"/>
            <w:vAlign w:val="center"/>
          </w:tcPr>
          <w:p w14:paraId="266466F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The station-specific daily air quality data were spatially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interpolated using inverse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 </w:t>
            </w:r>
            <w:r>
              <w:rPr>
                <w:rFonts w:ascii="Times New Roman" w:eastAsia="SimSun" w:hAnsi="Times New Roman" w:cs="Times New Roman"/>
                <w:szCs w:val="21"/>
              </w:rPr>
              <w:t>distance-squared weighting</w:t>
            </w:r>
          </w:p>
        </w:tc>
        <w:tc>
          <w:tcPr>
            <w:tcW w:w="1842" w:type="dxa"/>
            <w:vAlign w:val="center"/>
          </w:tcPr>
          <w:p w14:paraId="74CDE3F8" w14:textId="77777777" w:rsidR="00A058AA" w:rsidRDefault="00A058AA" w:rsidP="007F024A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</w:t>
            </w:r>
          </w:p>
        </w:tc>
        <w:tc>
          <w:tcPr>
            <w:tcW w:w="993" w:type="dxa"/>
            <w:vAlign w:val="center"/>
          </w:tcPr>
          <w:p w14:paraId="19AF98A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081212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4E1BC1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2FABAC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7DBDDE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818BB4C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37D353F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148BDE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EAA80A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E16DE9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E66F33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E8E72ED" w14:textId="77777777" w:rsidR="00A058AA" w:rsidRDefault="00A058AA" w:rsidP="007F024A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993" w:type="dxa"/>
            <w:vAlign w:val="center"/>
          </w:tcPr>
          <w:p w14:paraId="69DBF36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61548E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99B80C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DA7C2C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7E85BD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01183E6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57D62B4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E460B8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034BBE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219EE9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7E367A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A0D60F7" w14:textId="647ED0C5" w:rsidR="00A058AA" w:rsidRDefault="00A058AA" w:rsidP="007F024A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743C07"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993" w:type="dxa"/>
            <w:vAlign w:val="center"/>
          </w:tcPr>
          <w:p w14:paraId="4E4DCD0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9BE811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C6A63F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88A893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5BF1EE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AF41117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5AFDCB5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56DEE8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565179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2471EE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D7940F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BEDECF" w14:textId="701C00DC" w:rsidR="00A058AA" w:rsidRDefault="00A058AA" w:rsidP="007F024A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743C07"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</w:p>
        </w:tc>
        <w:tc>
          <w:tcPr>
            <w:tcW w:w="993" w:type="dxa"/>
            <w:vAlign w:val="center"/>
          </w:tcPr>
          <w:p w14:paraId="08768E2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739529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7D22BA4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850476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AD0E52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2F8BCB6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4040660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19665F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1D1BB2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60475A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4230B8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F7F1D6D" w14:textId="77777777" w:rsidR="00A058AA" w:rsidRDefault="00A058AA" w:rsidP="007F024A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743C07"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</w:p>
        </w:tc>
        <w:tc>
          <w:tcPr>
            <w:tcW w:w="993" w:type="dxa"/>
            <w:vAlign w:val="center"/>
          </w:tcPr>
          <w:p w14:paraId="2A98CC7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2E7EFD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56E87D9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027FBE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8F891A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791719D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5B6C746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ABB390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B88EEE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F41264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167156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AAD5B40" w14:textId="77777777" w:rsidR="00A058AA" w:rsidRDefault="00A058AA" w:rsidP="007F024A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3</w:t>
            </w:r>
          </w:p>
        </w:tc>
        <w:tc>
          <w:tcPr>
            <w:tcW w:w="993" w:type="dxa"/>
            <w:vAlign w:val="center"/>
          </w:tcPr>
          <w:p w14:paraId="579274A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890F7D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5C7FD0A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E74C50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0B76B0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6AC433A" w14:textId="77777777" w:rsidTr="00782658">
        <w:trPr>
          <w:trHeight w:val="1765"/>
          <w:jc w:val="center"/>
        </w:trPr>
        <w:tc>
          <w:tcPr>
            <w:tcW w:w="2364" w:type="dxa"/>
            <w:vMerge w:val="restart"/>
            <w:vAlign w:val="center"/>
          </w:tcPr>
          <w:p w14:paraId="11C062DD" w14:textId="1A685AFF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Vinikoor-Imler et al.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</w:t>
            </w:r>
            <w:r w:rsidR="00FE43AE"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28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]</w:t>
            </w:r>
          </w:p>
          <w:p w14:paraId="1C9D6F0F" w14:textId="27DBE568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(2013)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;</w:t>
            </w:r>
            <w:r w:rsidR="00F0515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North Carolina</w:t>
            </w:r>
          </w:p>
          <w:p w14:paraId="5EBA63D2" w14:textId="77777777" w:rsidR="00A058AA" w:rsidRPr="005A285C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(2003-2005)</w:t>
            </w:r>
          </w:p>
        </w:tc>
        <w:tc>
          <w:tcPr>
            <w:tcW w:w="1464" w:type="dxa"/>
            <w:vMerge w:val="restart"/>
            <w:vAlign w:val="center"/>
          </w:tcPr>
          <w:p w14:paraId="2F94532B" w14:textId="7A9E3ECA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550B7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Merge w:val="restart"/>
            <w:vAlign w:val="center"/>
          </w:tcPr>
          <w:p w14:paraId="6847775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</w:t>
            </w:r>
          </w:p>
          <w:p w14:paraId="18B9C22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978</w:t>
            </w:r>
          </w:p>
          <w:p w14:paraId="29596C6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Controls:</w:t>
            </w:r>
          </w:p>
          <w:p w14:paraId="66A10515" w14:textId="77777777" w:rsidR="00A058AA" w:rsidRDefault="00A058AA" w:rsidP="00E550B7">
            <w:pPr>
              <w:jc w:val="center"/>
              <w:rPr>
                <w:rFonts w:ascii="Calibri" w:eastAsia="SimSun" w:hAnsi="Calibri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N/A</w:t>
            </w:r>
          </w:p>
          <w:p w14:paraId="4A4CEA0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3BA912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W</w:t>
            </w:r>
            <w:r>
              <w:rPr>
                <w:rFonts w:ascii="Times New Roman" w:eastAsia="SimSun" w:hAnsi="Times New Roman" w:cs="Times New Roman"/>
                <w:szCs w:val="21"/>
              </w:rPr>
              <w:t>eeks 3</w:t>
            </w:r>
          </w:p>
          <w:p w14:paraId="275FDFCF" w14:textId="77777777" w:rsidR="00A058AA" w:rsidRDefault="00A058AA" w:rsidP="00E550B7">
            <w:pPr>
              <w:jc w:val="center"/>
              <w:rPr>
                <w:rFonts w:ascii="Calibri" w:eastAsia="SimSun" w:hAnsi="Calibri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 to 8</w:t>
            </w:r>
          </w:p>
        </w:tc>
        <w:tc>
          <w:tcPr>
            <w:tcW w:w="2127" w:type="dxa"/>
            <w:vMerge w:val="restart"/>
            <w:vAlign w:val="center"/>
          </w:tcPr>
          <w:p w14:paraId="2419E31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A hierarchical Bayesian model that combined modeled air pollution estimates from the U.S. Environmental Protection Agency’s (EPA’s) Community Multi-Scale Air Quality (CMAQ) model</w:t>
            </w:r>
          </w:p>
        </w:tc>
        <w:tc>
          <w:tcPr>
            <w:tcW w:w="1842" w:type="dxa"/>
            <w:vAlign w:val="center"/>
          </w:tcPr>
          <w:p w14:paraId="1029A97F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  <w:r>
              <w:rPr>
                <w:rFonts w:ascii="Times New Roman" w:eastAsia="SimSun" w:hAnsi="Times New Roman" w:cs="Times New Roman"/>
                <w:szCs w:val="21"/>
              </w:rPr>
              <w:t>:</w:t>
            </w:r>
          </w:p>
        </w:tc>
        <w:tc>
          <w:tcPr>
            <w:tcW w:w="993" w:type="dxa"/>
            <w:vAlign w:val="center"/>
          </w:tcPr>
          <w:p w14:paraId="2958333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7B0D8A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1673A60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DB538F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C56BD6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8655677" w14:textId="77777777" w:rsidTr="00782658">
        <w:trPr>
          <w:trHeight w:val="1411"/>
          <w:jc w:val="center"/>
        </w:trPr>
        <w:tc>
          <w:tcPr>
            <w:tcW w:w="2364" w:type="dxa"/>
            <w:vMerge/>
            <w:vAlign w:val="center"/>
          </w:tcPr>
          <w:p w14:paraId="199BCDC2" w14:textId="77777777" w:rsidR="00A058AA" w:rsidRDefault="00A058AA" w:rsidP="00E550B7">
            <w:pPr>
              <w:widowControl/>
              <w:jc w:val="left"/>
              <w:rPr>
                <w:rFonts w:ascii="Calibri" w:eastAsia="SimSun" w:hAnsi="Calibri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9313C1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0DBAD3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691669B" w14:textId="77777777" w:rsidR="00A058AA" w:rsidRDefault="00A058AA" w:rsidP="00E550B7">
            <w:pPr>
              <w:widowControl/>
              <w:jc w:val="left"/>
              <w:rPr>
                <w:rFonts w:ascii="Calibri" w:eastAsia="SimSun" w:hAnsi="Calibri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31A2EA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E7CE7E1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3</w:t>
            </w:r>
          </w:p>
        </w:tc>
        <w:tc>
          <w:tcPr>
            <w:tcW w:w="993" w:type="dxa"/>
            <w:vAlign w:val="center"/>
          </w:tcPr>
          <w:p w14:paraId="08D87E7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7477E83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713F85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42B1FB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56C577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CD367C8" w14:textId="77777777" w:rsidTr="00782658">
        <w:trPr>
          <w:trHeight w:hRule="exact" w:val="397"/>
          <w:jc w:val="center"/>
        </w:trPr>
        <w:tc>
          <w:tcPr>
            <w:tcW w:w="2364" w:type="dxa"/>
            <w:vMerge w:val="restart"/>
            <w:vAlign w:val="center"/>
          </w:tcPr>
          <w:p w14:paraId="22B2D6F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lastRenderedPageBreak/>
              <w:t>Schembari e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t</w:t>
            </w:r>
            <w:r w:rsidRPr="005A285C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al.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[17]</w:t>
            </w:r>
            <w:r w:rsidRPr="005A285C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(2014)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;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Barcelona, Spain (1994–2006)</w:t>
            </w:r>
          </w:p>
        </w:tc>
        <w:tc>
          <w:tcPr>
            <w:tcW w:w="1464" w:type="dxa"/>
            <w:vMerge w:val="restart"/>
            <w:vAlign w:val="center"/>
          </w:tcPr>
          <w:p w14:paraId="41EDA35D" w14:textId="23DBBCFA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550B7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Merge w:val="restart"/>
            <w:vAlign w:val="center"/>
          </w:tcPr>
          <w:p w14:paraId="54A0F44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1994–2006:</w:t>
            </w:r>
          </w:p>
          <w:p w14:paraId="3DC7812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ases:74</w:t>
            </w:r>
          </w:p>
          <w:p w14:paraId="29B1EA8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ontrols:</w:t>
            </w:r>
          </w:p>
          <w:p w14:paraId="297F8D4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2423</w:t>
            </w:r>
          </w:p>
          <w:p w14:paraId="1D5B617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2000–2006:</w:t>
            </w:r>
          </w:p>
          <w:p w14:paraId="55B5E99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ases:23</w:t>
            </w:r>
          </w:p>
          <w:p w14:paraId="3ECE3E6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ontrols:700</w:t>
            </w:r>
          </w:p>
        </w:tc>
        <w:tc>
          <w:tcPr>
            <w:tcW w:w="1275" w:type="dxa"/>
            <w:vMerge w:val="restart"/>
            <w:vAlign w:val="center"/>
          </w:tcPr>
          <w:p w14:paraId="093C263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W</w:t>
            </w:r>
            <w:r>
              <w:rPr>
                <w:rFonts w:ascii="Times New Roman" w:eastAsia="SimSun" w:hAnsi="Times New Roman" w:cs="Times New Roman"/>
                <w:szCs w:val="21"/>
              </w:rPr>
              <w:t>eeks 3</w:t>
            </w:r>
          </w:p>
          <w:p w14:paraId="63930C6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to </w:t>
            </w:r>
            <w:r>
              <w:rPr>
                <w:rFonts w:ascii="Times New Roman" w:eastAsia="SimSun" w:hAnsi="Times New Roman" w:cs="Times New Roman"/>
                <w:szCs w:val="21"/>
              </w:rPr>
              <w:t>8</w:t>
            </w:r>
          </w:p>
        </w:tc>
        <w:tc>
          <w:tcPr>
            <w:tcW w:w="2127" w:type="dxa"/>
            <w:vMerge w:val="restart"/>
            <w:vAlign w:val="center"/>
          </w:tcPr>
          <w:p w14:paraId="1B4FD85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The spatial land use regression (LUR) modeling</w:t>
            </w:r>
          </w:p>
        </w:tc>
        <w:tc>
          <w:tcPr>
            <w:tcW w:w="1842" w:type="dxa"/>
            <w:vAlign w:val="center"/>
          </w:tcPr>
          <w:p w14:paraId="612C0E7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993" w:type="dxa"/>
            <w:vAlign w:val="center"/>
          </w:tcPr>
          <w:p w14:paraId="7233212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E8AB02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995896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8C4690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1FE88D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AA2E25B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354143C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3D277F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C50576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135F81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E7C476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0CB1BB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X</w:t>
            </w:r>
          </w:p>
        </w:tc>
        <w:tc>
          <w:tcPr>
            <w:tcW w:w="993" w:type="dxa"/>
            <w:vAlign w:val="center"/>
          </w:tcPr>
          <w:p w14:paraId="6AF3469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1E9275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898005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A50DB9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B06457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8588592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65D2A2E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CBFB28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13103F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071FE8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03EA58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E6060F6" w14:textId="7BD34D1C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  <w:vertAlign w:val="sub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  <w:r w:rsidR="007D2A2F">
              <w:rPr>
                <w:rFonts w:ascii="Times New Roman" w:eastAsia="SimSun" w:hAnsi="Times New Roman" w:cs="Times New Roman"/>
                <w:szCs w:val="21"/>
                <w:vertAlign w:val="subscript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absorbance</w:t>
            </w:r>
          </w:p>
        </w:tc>
        <w:tc>
          <w:tcPr>
            <w:tcW w:w="993" w:type="dxa"/>
            <w:vAlign w:val="center"/>
          </w:tcPr>
          <w:p w14:paraId="5274BD6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393AA6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2FE21C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A6233F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46F994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DA05826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07091C2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3894C5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542BFC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CC53AF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575177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811E70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</w:p>
        </w:tc>
        <w:tc>
          <w:tcPr>
            <w:tcW w:w="993" w:type="dxa"/>
            <w:vAlign w:val="center"/>
          </w:tcPr>
          <w:p w14:paraId="01D7E2B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2222A2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3B8DF1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65223B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830A7C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3C17248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0B629D1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13276B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8013D1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292A4A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EC3851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DD4B45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PM 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coarse</w:t>
            </w:r>
          </w:p>
        </w:tc>
        <w:tc>
          <w:tcPr>
            <w:tcW w:w="993" w:type="dxa"/>
            <w:vAlign w:val="center"/>
          </w:tcPr>
          <w:p w14:paraId="74166AC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B0B4EF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BE0A77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484EB8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A4D54F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0BBF443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7F49F2D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2F7302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FFE10A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0D2502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F5AC97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8EF51B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</w:p>
        </w:tc>
        <w:tc>
          <w:tcPr>
            <w:tcW w:w="993" w:type="dxa"/>
            <w:vAlign w:val="center"/>
          </w:tcPr>
          <w:p w14:paraId="101DBD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FFC5AD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F3543B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974A9D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BA5550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B208DF5" w14:textId="77777777" w:rsidTr="00782658">
        <w:trPr>
          <w:trHeight w:val="1775"/>
          <w:jc w:val="center"/>
        </w:trPr>
        <w:tc>
          <w:tcPr>
            <w:tcW w:w="2364" w:type="dxa"/>
            <w:vMerge w:val="restart"/>
            <w:vAlign w:val="center"/>
          </w:tcPr>
          <w:p w14:paraId="55969ECE" w14:textId="6E67C7D0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Vinikoor-Imler et al.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[18]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(2015)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;</w:t>
            </w:r>
            <w:r w:rsidR="0075567E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Texas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</w:p>
          <w:p w14:paraId="0E57375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(2002-2006)</w:t>
            </w:r>
          </w:p>
        </w:tc>
        <w:tc>
          <w:tcPr>
            <w:tcW w:w="1464" w:type="dxa"/>
            <w:vMerge w:val="restart"/>
            <w:vAlign w:val="center"/>
          </w:tcPr>
          <w:p w14:paraId="42F259F9" w14:textId="12064DFE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D15FC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Merge w:val="restart"/>
            <w:vAlign w:val="center"/>
          </w:tcPr>
          <w:p w14:paraId="667271B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ases:369</w:t>
            </w:r>
          </w:p>
          <w:p w14:paraId="4F820FB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ontrols:</w:t>
            </w:r>
          </w:p>
          <w:p w14:paraId="4BA0BD5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711833</w:t>
            </w:r>
          </w:p>
        </w:tc>
        <w:tc>
          <w:tcPr>
            <w:tcW w:w="1275" w:type="dxa"/>
            <w:vMerge w:val="restart"/>
            <w:vAlign w:val="center"/>
          </w:tcPr>
          <w:p w14:paraId="708C636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First trimester</w:t>
            </w:r>
          </w:p>
        </w:tc>
        <w:tc>
          <w:tcPr>
            <w:tcW w:w="2127" w:type="dxa"/>
            <w:vMerge w:val="restart"/>
            <w:vAlign w:val="center"/>
          </w:tcPr>
          <w:p w14:paraId="54CD89F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A hierarchical Bayesian model that combined modeled air pollution estimates from the U.S. Environmental Protection Agency’s (EPA’s) Community Multi-Scale Air Quality (CMAQ) model</w:t>
            </w:r>
          </w:p>
        </w:tc>
        <w:tc>
          <w:tcPr>
            <w:tcW w:w="1842" w:type="dxa"/>
            <w:vAlign w:val="center"/>
          </w:tcPr>
          <w:p w14:paraId="6C32507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</w:p>
        </w:tc>
        <w:tc>
          <w:tcPr>
            <w:tcW w:w="993" w:type="dxa"/>
            <w:vAlign w:val="center"/>
          </w:tcPr>
          <w:p w14:paraId="61451A7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314A37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9D0D9F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C468D4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9A5DD1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F8E4799" w14:textId="77777777" w:rsidTr="00782658">
        <w:trPr>
          <w:trHeight w:val="480"/>
          <w:jc w:val="center"/>
        </w:trPr>
        <w:tc>
          <w:tcPr>
            <w:tcW w:w="2364" w:type="dxa"/>
            <w:vMerge/>
            <w:vAlign w:val="center"/>
          </w:tcPr>
          <w:p w14:paraId="3AF2C37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E41E02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04056C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F4D4B9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3597DA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B373AE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3</w:t>
            </w:r>
          </w:p>
        </w:tc>
        <w:tc>
          <w:tcPr>
            <w:tcW w:w="993" w:type="dxa"/>
            <w:vAlign w:val="center"/>
          </w:tcPr>
          <w:p w14:paraId="50DC713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3EFF9A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849A87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CD03EB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C038EE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81F2467" w14:textId="77777777" w:rsidTr="00782658">
        <w:trPr>
          <w:trHeight w:val="480"/>
          <w:jc w:val="center"/>
        </w:trPr>
        <w:tc>
          <w:tcPr>
            <w:tcW w:w="2364" w:type="dxa"/>
            <w:vAlign w:val="center"/>
          </w:tcPr>
          <w:p w14:paraId="405DB94F" w14:textId="61C53120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Landau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et al.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</w:t>
            </w:r>
            <w:r w:rsidR="00FE43AE"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31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]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(2015)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; Israel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</w:p>
          <w:p w14:paraId="669AE7EF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(2010-2013)</w:t>
            </w:r>
          </w:p>
        </w:tc>
        <w:tc>
          <w:tcPr>
            <w:tcW w:w="1464" w:type="dxa"/>
            <w:vAlign w:val="center"/>
          </w:tcPr>
          <w:p w14:paraId="5FC0ACAA" w14:textId="023A80B5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Cohort study</w:t>
            </w:r>
            <w:r w:rsidR="008A3B43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Align w:val="center"/>
          </w:tcPr>
          <w:p w14:paraId="7DACE4B9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N/A /1024</w:t>
            </w:r>
          </w:p>
        </w:tc>
        <w:tc>
          <w:tcPr>
            <w:tcW w:w="1275" w:type="dxa"/>
            <w:vAlign w:val="center"/>
          </w:tcPr>
          <w:p w14:paraId="6CCF8DC8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The first trimester</w:t>
            </w:r>
          </w:p>
          <w:p w14:paraId="717F262B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and 3 months prior to conception</w:t>
            </w:r>
          </w:p>
        </w:tc>
        <w:tc>
          <w:tcPr>
            <w:tcW w:w="2127" w:type="dxa"/>
            <w:vAlign w:val="center"/>
          </w:tcPr>
          <w:p w14:paraId="35E82AD8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The inverse distance weighting method</w:t>
            </w:r>
          </w:p>
        </w:tc>
        <w:tc>
          <w:tcPr>
            <w:tcW w:w="1842" w:type="dxa"/>
            <w:vAlign w:val="center"/>
          </w:tcPr>
          <w:p w14:paraId="26C0779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SimSun" w:hAnsi="Times New Roman" w:cs="Times New Roman"/>
                <w:szCs w:val="21"/>
              </w:rPr>
              <w:t>, SO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SimSun" w:hAnsi="Times New Roman" w:cs="Times New Roman"/>
                <w:szCs w:val="21"/>
              </w:rPr>
              <w:t>, 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>, CO, 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and 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</w:p>
        </w:tc>
        <w:tc>
          <w:tcPr>
            <w:tcW w:w="993" w:type="dxa"/>
            <w:vAlign w:val="center"/>
          </w:tcPr>
          <w:p w14:paraId="40B97F0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74B03D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3DF0FD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F6FA8E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9AFCB8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5A1CE441" w14:textId="77777777" w:rsidTr="00782658">
        <w:trPr>
          <w:trHeight w:val="3380"/>
          <w:jc w:val="center"/>
        </w:trPr>
        <w:tc>
          <w:tcPr>
            <w:tcW w:w="2364" w:type="dxa"/>
            <w:vAlign w:val="center"/>
          </w:tcPr>
          <w:p w14:paraId="2DC445A8" w14:textId="4AA5EDB2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Vinceti et al.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</w:t>
            </w:r>
            <w:r w:rsidR="00FE43AE"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29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]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(2016)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;</w:t>
            </w:r>
          </w:p>
          <w:p w14:paraId="5DB1076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Italy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</w:p>
          <w:p w14:paraId="6B75342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(1998-2006)</w:t>
            </w:r>
          </w:p>
        </w:tc>
        <w:tc>
          <w:tcPr>
            <w:tcW w:w="1464" w:type="dxa"/>
            <w:vAlign w:val="center"/>
          </w:tcPr>
          <w:p w14:paraId="0A5DEE05" w14:textId="16EAD135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D15FC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Align w:val="center"/>
          </w:tcPr>
          <w:p w14:paraId="5080FE6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ases:3</w:t>
            </w:r>
          </w:p>
          <w:p w14:paraId="7FAD4F7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Control:228</w:t>
            </w:r>
          </w:p>
        </w:tc>
        <w:tc>
          <w:tcPr>
            <w:tcW w:w="1275" w:type="dxa"/>
            <w:vAlign w:val="center"/>
          </w:tcPr>
          <w:p w14:paraId="36CDBCE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Within the 9 month period before parturition (or 3 months before induced abortion)</w:t>
            </w:r>
          </w:p>
        </w:tc>
        <w:tc>
          <w:tcPr>
            <w:tcW w:w="2127" w:type="dxa"/>
            <w:vAlign w:val="center"/>
          </w:tcPr>
          <w:p w14:paraId="0DD5BB5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Based on the California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SimSun" w:hAnsi="Times New Roman" w:cs="Times New Roman"/>
                <w:szCs w:val="21"/>
              </w:rPr>
              <w:t>ine Source Dispersion Model version 4</w:t>
            </w:r>
          </w:p>
        </w:tc>
        <w:tc>
          <w:tcPr>
            <w:tcW w:w="1842" w:type="dxa"/>
            <w:vAlign w:val="center"/>
          </w:tcPr>
          <w:p w14:paraId="5B800FD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</w:p>
        </w:tc>
        <w:tc>
          <w:tcPr>
            <w:tcW w:w="993" w:type="dxa"/>
            <w:vAlign w:val="center"/>
          </w:tcPr>
          <w:p w14:paraId="5AED20F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615BC5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1AE6C93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2C32A7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441C4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22E72F6" w14:textId="77777777" w:rsidTr="00360C08">
        <w:trPr>
          <w:trHeight w:val="236"/>
          <w:jc w:val="center"/>
        </w:trPr>
        <w:tc>
          <w:tcPr>
            <w:tcW w:w="2364" w:type="dxa"/>
            <w:vMerge w:val="restart"/>
            <w:vAlign w:val="center"/>
          </w:tcPr>
          <w:p w14:paraId="216D6576" w14:textId="51F0BB24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Ren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et al.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[19]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 w:rsidRPr="005A285C">
              <w:rPr>
                <w:rFonts w:ascii="Times New Roman" w:eastAsia="SimSun" w:hAnsi="Times New Roman" w:cs="Times New Roman"/>
                <w:color w:val="000000"/>
                <w:szCs w:val="21"/>
              </w:rPr>
              <w:t>(</w:t>
            </w:r>
            <w:r>
              <w:rPr>
                <w:rFonts w:ascii="Times New Roman" w:eastAsia="SimSun" w:hAnsi="Times New Roman" w:cs="Times New Roman"/>
                <w:szCs w:val="21"/>
              </w:rPr>
              <w:t>201</w:t>
            </w:r>
            <w:r w:rsidR="00342981">
              <w:rPr>
                <w:rFonts w:ascii="Times New Roman" w:eastAsia="SimSun" w:hAnsi="Times New Roman" w:cs="Times New Roman"/>
                <w:szCs w:val="21"/>
              </w:rPr>
              <w:t>8</w:t>
            </w:r>
            <w:r>
              <w:rPr>
                <w:rFonts w:ascii="Times New Roman" w:eastAsia="SimSun" w:hAnsi="Times New Roman" w:cs="Times New Roman"/>
                <w:szCs w:val="21"/>
              </w:rPr>
              <w:t>)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; </w:t>
            </w:r>
            <w:r>
              <w:rPr>
                <w:rFonts w:ascii="Times New Roman" w:eastAsia="SimSun" w:hAnsi="Times New Roman" w:cs="Times New Roman"/>
                <w:szCs w:val="21"/>
              </w:rPr>
              <w:t>Ohio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</w:p>
          <w:p w14:paraId="7CDA1D2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(2006-2010)</w:t>
            </w:r>
          </w:p>
        </w:tc>
        <w:tc>
          <w:tcPr>
            <w:tcW w:w="1464" w:type="dxa"/>
            <w:vMerge w:val="restart"/>
            <w:vAlign w:val="center"/>
          </w:tcPr>
          <w:p w14:paraId="569D77B3" w14:textId="16A430C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Cohort study</w:t>
            </w:r>
            <w:r w:rsidR="00360C08">
              <w:rPr>
                <w:rFonts w:ascii="Times New Roman" w:eastAsia="SimSun" w:hAnsi="Times New Roman" w:cs="Times New Roman"/>
                <w:szCs w:val="21"/>
              </w:rPr>
              <w:t>/</w:t>
            </w:r>
            <w:r w:rsidR="00360C08">
              <w:rPr>
                <w:rFonts w:ascii="SimSun" w:eastAsia="SimSun" w:hAnsi="SimSun" w:cs="Times New Roman" w:hint="eastAsia"/>
                <w:szCs w:val="21"/>
              </w:rPr>
              <w:t>Ⅱ</w:t>
            </w:r>
          </w:p>
        </w:tc>
        <w:tc>
          <w:tcPr>
            <w:tcW w:w="1938" w:type="dxa"/>
            <w:vMerge w:val="restart"/>
            <w:vAlign w:val="center"/>
          </w:tcPr>
          <w:p w14:paraId="7205E4B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10-km cohort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:</w:t>
            </w:r>
          </w:p>
          <w:p w14:paraId="672446C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111/ </w:t>
            </w:r>
            <w:r>
              <w:rPr>
                <w:rFonts w:ascii="Times New Roman" w:eastAsia="SimSun" w:hAnsi="Times New Roman" w:cs="Times New Roman"/>
                <w:szCs w:val="21"/>
              </w:rPr>
              <w:t>146114</w:t>
            </w:r>
          </w:p>
          <w:p w14:paraId="75BB20C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7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-km cohort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:</w:t>
            </w:r>
          </w:p>
          <w:p w14:paraId="26E50A6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78/ </w:t>
            </w:r>
            <w:r>
              <w:rPr>
                <w:rFonts w:ascii="Times New Roman" w:eastAsia="SimSun" w:hAnsi="Times New Roman" w:cs="Times New Roman"/>
                <w:szCs w:val="21"/>
              </w:rPr>
              <w:t>105920</w:t>
            </w:r>
          </w:p>
          <w:p w14:paraId="3BCD979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5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-km cohort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:</w:t>
            </w:r>
          </w:p>
          <w:p w14:paraId="593D6B3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50/ </w:t>
            </w:r>
            <w:r>
              <w:rPr>
                <w:rFonts w:ascii="Times New Roman" w:eastAsia="SimSun" w:hAnsi="Times New Roman" w:cs="Times New Roman"/>
                <w:szCs w:val="21"/>
              </w:rPr>
              <w:t>72225</w:t>
            </w:r>
          </w:p>
        </w:tc>
        <w:tc>
          <w:tcPr>
            <w:tcW w:w="1275" w:type="dxa"/>
            <w:vMerge w:val="restart"/>
            <w:vAlign w:val="center"/>
          </w:tcPr>
          <w:p w14:paraId="24465A3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 and 2 months before</w:t>
            </w:r>
          </w:p>
          <w:p w14:paraId="39FFF64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conception, the month of conception, and the average of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3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months</w:t>
            </w:r>
          </w:p>
        </w:tc>
        <w:tc>
          <w:tcPr>
            <w:tcW w:w="2127" w:type="dxa"/>
            <w:vMerge w:val="restart"/>
            <w:vAlign w:val="center"/>
          </w:tcPr>
          <w:p w14:paraId="2B96E24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levels were measured by 57 US Environmental Protection Agency stationary monitors across Ohio, and from this monthly averages were calculated</w:t>
            </w:r>
          </w:p>
        </w:tc>
        <w:tc>
          <w:tcPr>
            <w:tcW w:w="1842" w:type="dxa"/>
            <w:vAlign w:val="center"/>
          </w:tcPr>
          <w:p w14:paraId="567355E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PM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  <w:vertAlign w:val="subscript"/>
              </w:rPr>
              <w:t xml:space="preserve">2.5 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10-km cohort</w:t>
            </w:r>
          </w:p>
        </w:tc>
        <w:tc>
          <w:tcPr>
            <w:tcW w:w="4975" w:type="dxa"/>
            <w:gridSpan w:val="5"/>
            <w:vAlign w:val="center"/>
          </w:tcPr>
          <w:p w14:paraId="21B404F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C112902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1AFCFFF1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6F37958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5831908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1642FAF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B861614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209DE6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2 months before</w:t>
            </w:r>
          </w:p>
        </w:tc>
        <w:tc>
          <w:tcPr>
            <w:tcW w:w="993" w:type="dxa"/>
            <w:vAlign w:val="center"/>
          </w:tcPr>
          <w:p w14:paraId="6FA4CBE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0307F7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F96EAF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BC0234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5161AD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24648DF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695F2FD4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3BACCD5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050C1AD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522C977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29795E0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C5D7C5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3977871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9858E3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3AE85B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694B8E5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2A1BFC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3B45CD3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3D667338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E5F0DE0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FA41EBF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63C4D19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266650B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D3F09D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066A96A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222CBC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BEF765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C9BCF8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0756BC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E19F81A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6959F8F2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BB04424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432E5F4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FACA96A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7DEC375F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A153EF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1 month before</w:t>
            </w:r>
          </w:p>
        </w:tc>
        <w:tc>
          <w:tcPr>
            <w:tcW w:w="993" w:type="dxa"/>
            <w:vAlign w:val="center"/>
          </w:tcPr>
          <w:p w14:paraId="4C1E0C9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7D685F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BDDADD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26306E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C0C475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184A971D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354FBE1C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F3D08A5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3817EED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9EF33E5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78A6C44F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0C60F0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393B2AA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DDF26F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4E6F90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BED0BF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FF1BF7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6F158F8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0094027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92E406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E6A893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81ECC5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091D26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541F7D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3ECCAF1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D65FEF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CF31C0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58616C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4247D8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3204900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23EF1EA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776B5C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02811A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C39C0E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7EAB4A1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C4565B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Month of conception</w:t>
            </w:r>
          </w:p>
        </w:tc>
        <w:tc>
          <w:tcPr>
            <w:tcW w:w="993" w:type="dxa"/>
            <w:vAlign w:val="center"/>
          </w:tcPr>
          <w:p w14:paraId="5D5ADFF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24FB89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7693DD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B772C4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5EAFE0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25FE351B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389D8BD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F0BC20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12056F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0B557A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7F0D9F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DE7B8D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1DAA181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16A44D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4DF4E2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5C5556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7E693AB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0CBE46D9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2448105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BA6E68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CE62FC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5C4507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750D22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29A2C7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6FA850A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72A1F5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5FFFCF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898F68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3F35C47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3A65D6B6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7AB0A8D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64AB1F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A9A842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4CDDA0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83278B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34ED30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Average of 3 months</w:t>
            </w:r>
          </w:p>
        </w:tc>
        <w:tc>
          <w:tcPr>
            <w:tcW w:w="993" w:type="dxa"/>
            <w:vAlign w:val="center"/>
          </w:tcPr>
          <w:p w14:paraId="6202DB1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29B942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58FD97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A9570C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214935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6C48879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6FEAD6F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F467DB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E513B7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D63B66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559434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C775EB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4A79CE2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DE76E9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289587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A13920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BD573B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B310B88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7CB459E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DE9EBD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209EAA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17AF38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74DEA35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C2C60A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6D8399E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6CB3896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EAB430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B3670A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28D8B9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DEBA560" w14:textId="77777777" w:rsidTr="00360C0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7394148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2E58C9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B4FD8C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13BDBD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06D1AD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4AADD1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7-km cohort</w:t>
            </w:r>
          </w:p>
        </w:tc>
        <w:tc>
          <w:tcPr>
            <w:tcW w:w="4975" w:type="dxa"/>
            <w:gridSpan w:val="5"/>
            <w:vAlign w:val="center"/>
          </w:tcPr>
          <w:p w14:paraId="19F02C9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30D2DFAC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44342BC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07FDA8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3EECB6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AFDF2E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B5C628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23BDFD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2 months before</w:t>
            </w:r>
          </w:p>
        </w:tc>
        <w:tc>
          <w:tcPr>
            <w:tcW w:w="993" w:type="dxa"/>
            <w:vAlign w:val="center"/>
          </w:tcPr>
          <w:p w14:paraId="4E07AB1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73BD66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D9DACC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4FA02F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650B23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36F7300A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24DB999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79FC9A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8074A4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AB889D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48DAC7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A1F231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3791B72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6C2BCA1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6F5221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52A5DE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561E0B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CD57BC8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43FABBC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501F04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66C5FE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6A75DD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DC884F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0A1822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2F0AA8C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6FA6E6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06A4C8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90661C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4E1285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421E781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14FA69E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5BD3F8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83BB10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5034B3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A691F2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DDCC80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1 month before</w:t>
            </w:r>
          </w:p>
        </w:tc>
        <w:tc>
          <w:tcPr>
            <w:tcW w:w="993" w:type="dxa"/>
            <w:vAlign w:val="center"/>
          </w:tcPr>
          <w:p w14:paraId="49F36CF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AA9373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8B75AB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D2031B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720106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54BD4E3D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03BB208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CDB744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A09434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065DE9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F18453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124B92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18DF18E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1CA4D2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8FF7E3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C9A70D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5BE7553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F411367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7D6F4E8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2247F1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D2D4EE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E39E0A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D6CE2A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53FF50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71A8485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FEC04E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C85D15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4BCB6E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46C1435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2B25B1EB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7E925C7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FF2196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5C6162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B4BDE4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89B586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A9A748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Month of conception</w:t>
            </w:r>
          </w:p>
        </w:tc>
        <w:tc>
          <w:tcPr>
            <w:tcW w:w="993" w:type="dxa"/>
            <w:vAlign w:val="center"/>
          </w:tcPr>
          <w:p w14:paraId="727633F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BB4766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52F280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D1E9F5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AD43C9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A7532D5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6027534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FB2622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96CFF3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588850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1651EE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F5FACA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546F84F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54CF31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41585E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8BEC7A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59FD6E1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6B8E211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2D2C045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CAFA48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9485D0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82500D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E9F617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36B3F8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4471702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EE7FB3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49CE9D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2C3787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1FF0DF7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3626A220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2DC5AC3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36CDEE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2AFEF6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27F1D3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19019E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03D72E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Average of 3 months</w:t>
            </w:r>
          </w:p>
        </w:tc>
        <w:tc>
          <w:tcPr>
            <w:tcW w:w="993" w:type="dxa"/>
            <w:vAlign w:val="center"/>
          </w:tcPr>
          <w:p w14:paraId="406CE6A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CDA32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9D0F09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FAA5CE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5BB869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7D0116A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03266EA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470E6D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A55D4C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9D19A8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921457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C73CB9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115536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D1952A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F857FD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F85BEB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28F205A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3F8D09DA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3438F45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80359F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3A046A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6C4602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6A94A9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79FC3A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572178A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A1E146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F0191A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A3E870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7BCE973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0C0105E7" w14:textId="77777777" w:rsidTr="00360C0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20BFD26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9F87E7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D1826B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2914C9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B32F83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D6A4AC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231F2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szCs w:val="21"/>
              </w:rPr>
              <w:t>5-km cohort</w:t>
            </w:r>
          </w:p>
        </w:tc>
        <w:tc>
          <w:tcPr>
            <w:tcW w:w="4975" w:type="dxa"/>
            <w:gridSpan w:val="5"/>
            <w:vAlign w:val="center"/>
          </w:tcPr>
          <w:p w14:paraId="31C274A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76E1880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1E4C385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D1A887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DF2512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41F9B2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B8F450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2575FE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2 months befor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e</w:t>
            </w:r>
          </w:p>
        </w:tc>
        <w:tc>
          <w:tcPr>
            <w:tcW w:w="993" w:type="dxa"/>
            <w:vAlign w:val="center"/>
          </w:tcPr>
          <w:p w14:paraId="3D0601C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A7EC3E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C2E268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1889F9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15F7DE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139846A1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05AEE3E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16AFDD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099464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328C59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E31F30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D440E1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56DE0A1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F36A80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ED8851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3774CF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2D0E97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BDF4B08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53DA594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A9F6A2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0B956C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143EC7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5D42E1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7F9B2B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514A592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C4AB68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949744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1FF48E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99B74D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46599F2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004E385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3D4318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E7DE72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F19D83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D88013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5A4131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1 month before</w:t>
            </w:r>
          </w:p>
        </w:tc>
        <w:tc>
          <w:tcPr>
            <w:tcW w:w="993" w:type="dxa"/>
            <w:vAlign w:val="center"/>
          </w:tcPr>
          <w:p w14:paraId="527C5CE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804C8B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A94A9D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44447A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A7E253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E5F9127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58CFCE5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72B383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0179B2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4A8CBF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AA67D0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0185B5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317465C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97263D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46CAD9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84CFB3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2C4F042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2EE46C20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6350737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06A5E1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BA88B9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C002DF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DF1591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EF2BB5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6108D99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B90FE9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483437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AC0F67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07BB136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62BAE76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0C14DE5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7A1A95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FEA0EE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14A726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013EC5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75F1A1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Month of conception</w:t>
            </w:r>
          </w:p>
        </w:tc>
        <w:tc>
          <w:tcPr>
            <w:tcW w:w="993" w:type="dxa"/>
            <w:vAlign w:val="center"/>
          </w:tcPr>
          <w:p w14:paraId="1679366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328067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18D24A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EC2F1B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7BF6FA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1FC47EFD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04D0DFA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C21BE9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599C9C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7DDA03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C594E0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91344C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63423EC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F6FA39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8E3103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9F2420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DDC195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89EC448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504870B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619479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2DD4D2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EE548A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D20073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0C1310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6E81C86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3F21DD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A6F95D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5D4906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6B3BE7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B85B26C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1DDCCAF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A62F9D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2166E1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18B284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295DCA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A3FCD5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Average of 3 months</w:t>
            </w:r>
          </w:p>
        </w:tc>
        <w:tc>
          <w:tcPr>
            <w:tcW w:w="993" w:type="dxa"/>
            <w:vAlign w:val="center"/>
          </w:tcPr>
          <w:p w14:paraId="4CB62D9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3FF0A2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A34C13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4E57FC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362ACA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109AB25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431A9E8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F41150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ECFD7C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694BB7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2E982F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3527F4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</w:t>
            </w:r>
          </w:p>
        </w:tc>
        <w:tc>
          <w:tcPr>
            <w:tcW w:w="993" w:type="dxa"/>
            <w:vAlign w:val="center"/>
          </w:tcPr>
          <w:p w14:paraId="5EE95AB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94A512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3195A1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EA1A19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09C0B5C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3018FCC" w14:textId="77777777" w:rsidTr="00782658">
        <w:trPr>
          <w:trHeight w:val="203"/>
          <w:jc w:val="center"/>
        </w:trPr>
        <w:tc>
          <w:tcPr>
            <w:tcW w:w="2364" w:type="dxa"/>
            <w:vMerge/>
            <w:vAlign w:val="center"/>
          </w:tcPr>
          <w:p w14:paraId="2AF771D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1D76FA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0E2D04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85DFF3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91430A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9B4A6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3E83876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6ED3BE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61EDD9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9279BD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0F921A2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1D728AC" w14:textId="77777777" w:rsidTr="00360C08">
        <w:trPr>
          <w:trHeight w:val="397"/>
          <w:jc w:val="center"/>
        </w:trPr>
        <w:tc>
          <w:tcPr>
            <w:tcW w:w="2364" w:type="dxa"/>
            <w:vMerge w:val="restart"/>
            <w:vAlign w:val="center"/>
          </w:tcPr>
          <w:p w14:paraId="1DF67235" w14:textId="77777777" w:rsidR="00A058AA" w:rsidRPr="003673E0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Salavati et al.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[10]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(2018)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; </w:t>
            </w:r>
            <w:r>
              <w:rPr>
                <w:rFonts w:ascii="Times New Roman" w:eastAsia="SimSun" w:hAnsi="Times New Roman" w:cs="Times New Roman"/>
                <w:szCs w:val="21"/>
              </w:rPr>
              <w:t>Netherlands</w:t>
            </w:r>
          </w:p>
          <w:p w14:paraId="128820B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(1999-2014)</w:t>
            </w:r>
          </w:p>
        </w:tc>
        <w:tc>
          <w:tcPr>
            <w:tcW w:w="1464" w:type="dxa"/>
            <w:vMerge w:val="restart"/>
            <w:vAlign w:val="center"/>
          </w:tcPr>
          <w:p w14:paraId="0B5BCE92" w14:textId="4968A01E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D15FC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Merge w:val="restart"/>
            <w:vAlign w:val="center"/>
          </w:tcPr>
          <w:p w14:paraId="5C10727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ases:446</w:t>
            </w:r>
          </w:p>
          <w:p w14:paraId="7E03CDE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ontrols(1):</w:t>
            </w:r>
          </w:p>
          <w:p w14:paraId="72FF7AE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775</w:t>
            </w:r>
          </w:p>
          <w:p w14:paraId="4E1BA5B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ases:446</w:t>
            </w:r>
          </w:p>
          <w:p w14:paraId="15B26D8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ontrols(2):</w:t>
            </w:r>
          </w:p>
          <w:p w14:paraId="79207F0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2634</w:t>
            </w:r>
          </w:p>
        </w:tc>
        <w:tc>
          <w:tcPr>
            <w:tcW w:w="1275" w:type="dxa"/>
            <w:vMerge w:val="restart"/>
            <w:vAlign w:val="center"/>
          </w:tcPr>
          <w:p w14:paraId="6EB6F99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The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periconceptional period</w:t>
            </w:r>
          </w:p>
        </w:tc>
        <w:tc>
          <w:tcPr>
            <w:tcW w:w="2127" w:type="dxa"/>
            <w:vMerge w:val="restart"/>
            <w:vAlign w:val="center"/>
          </w:tcPr>
          <w:p w14:paraId="7C9267B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Land use regression (LUR) models</w:t>
            </w:r>
          </w:p>
        </w:tc>
        <w:tc>
          <w:tcPr>
            <w:tcW w:w="1842" w:type="dxa"/>
            <w:vAlign w:val="center"/>
          </w:tcPr>
          <w:p w14:paraId="17A2423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control group 1</w:t>
            </w:r>
          </w:p>
        </w:tc>
        <w:tc>
          <w:tcPr>
            <w:tcW w:w="4975" w:type="dxa"/>
            <w:gridSpan w:val="5"/>
            <w:vAlign w:val="center"/>
          </w:tcPr>
          <w:p w14:paraId="46D3AE6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DCAB84B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7640143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13556C7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F2FA27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179A69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2F9FC5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B52D36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993" w:type="dxa"/>
            <w:vAlign w:val="center"/>
          </w:tcPr>
          <w:p w14:paraId="2384CD9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8CF018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87A675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0ADA6F0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8E17EC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46DE59B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650D0111" w14:textId="77777777" w:rsidR="00A058AA" w:rsidRDefault="00A058AA" w:rsidP="00E550B7"/>
        </w:tc>
        <w:tc>
          <w:tcPr>
            <w:tcW w:w="1464" w:type="dxa"/>
            <w:vMerge/>
            <w:vAlign w:val="center"/>
          </w:tcPr>
          <w:p w14:paraId="3EEED1B3" w14:textId="77777777" w:rsidR="00A058AA" w:rsidRDefault="00A058AA" w:rsidP="00E550B7"/>
        </w:tc>
        <w:tc>
          <w:tcPr>
            <w:tcW w:w="1938" w:type="dxa"/>
            <w:vMerge/>
            <w:vAlign w:val="center"/>
          </w:tcPr>
          <w:p w14:paraId="6AEFA8C6" w14:textId="77777777" w:rsidR="00A058AA" w:rsidRDefault="00A058AA" w:rsidP="00E550B7"/>
        </w:tc>
        <w:tc>
          <w:tcPr>
            <w:tcW w:w="1275" w:type="dxa"/>
            <w:vMerge/>
            <w:vAlign w:val="center"/>
          </w:tcPr>
          <w:p w14:paraId="072AB197" w14:textId="77777777" w:rsidR="00A058AA" w:rsidRDefault="00A058AA" w:rsidP="00E550B7"/>
        </w:tc>
        <w:tc>
          <w:tcPr>
            <w:tcW w:w="2127" w:type="dxa"/>
            <w:vMerge/>
            <w:vAlign w:val="center"/>
          </w:tcPr>
          <w:p w14:paraId="0BEB9280" w14:textId="77777777" w:rsidR="00A058AA" w:rsidRDefault="00A058AA" w:rsidP="00E550B7"/>
        </w:tc>
        <w:tc>
          <w:tcPr>
            <w:tcW w:w="1842" w:type="dxa"/>
            <w:vAlign w:val="center"/>
          </w:tcPr>
          <w:p w14:paraId="675FE528" w14:textId="77777777" w:rsidR="00A058AA" w:rsidRDefault="00A058AA" w:rsidP="00E550B7">
            <w:pPr>
              <w:jc w:val="center"/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X</w:t>
            </w:r>
          </w:p>
        </w:tc>
        <w:tc>
          <w:tcPr>
            <w:tcW w:w="993" w:type="dxa"/>
            <w:vAlign w:val="center"/>
          </w:tcPr>
          <w:p w14:paraId="64E7134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FDAC21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5655A50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EA8FD3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4073AF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B546990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470E36E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075D6D0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62D4E7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328BED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D2D349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A4838F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</w:p>
        </w:tc>
        <w:tc>
          <w:tcPr>
            <w:tcW w:w="993" w:type="dxa"/>
            <w:vAlign w:val="center"/>
          </w:tcPr>
          <w:p w14:paraId="0FBE0B9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8D03C2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79FC3B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724E5E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D94AA4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19900F9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30628D0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4FC85B7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468F67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9C3E2B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ADE264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76F65C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</w:p>
        </w:tc>
        <w:tc>
          <w:tcPr>
            <w:tcW w:w="993" w:type="dxa"/>
            <w:vAlign w:val="center"/>
          </w:tcPr>
          <w:p w14:paraId="17A08A6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4E9E4E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BFF9C8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824D7B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875285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8BE7C74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25C71E0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62D70C7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F07087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BDD0DD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A68723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F310C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10-2.5</w:t>
            </w:r>
          </w:p>
        </w:tc>
        <w:tc>
          <w:tcPr>
            <w:tcW w:w="993" w:type="dxa"/>
            <w:vAlign w:val="center"/>
          </w:tcPr>
          <w:p w14:paraId="5ED7B03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38FBC2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0C31979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590F52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51B05E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C3145AB" w14:textId="77777777" w:rsidTr="00360C0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3EB972E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6B7A4FC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E52634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9B83FD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C75DDC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0CA818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control group 2</w:t>
            </w:r>
          </w:p>
        </w:tc>
        <w:tc>
          <w:tcPr>
            <w:tcW w:w="4975" w:type="dxa"/>
            <w:gridSpan w:val="5"/>
            <w:vAlign w:val="center"/>
          </w:tcPr>
          <w:p w14:paraId="43D8B8A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9174132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394AB14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017EAF1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41063E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3D50DC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F7F4D1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1BE0AA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993" w:type="dxa"/>
            <w:vAlign w:val="center"/>
          </w:tcPr>
          <w:p w14:paraId="12AAAC1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897B90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FA22BD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B79B3D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06F466C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7E83111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3C2D0CC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274F300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3F2C70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3C91CE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5666B7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5365C4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X</w:t>
            </w:r>
          </w:p>
        </w:tc>
        <w:tc>
          <w:tcPr>
            <w:tcW w:w="993" w:type="dxa"/>
            <w:vAlign w:val="center"/>
          </w:tcPr>
          <w:p w14:paraId="117EB64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524B61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C6B3FF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981C0D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71D0F23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28D09BC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21AF4F5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5D83815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904C98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7B5313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D2DE2A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45CC1B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</w:p>
        </w:tc>
        <w:tc>
          <w:tcPr>
            <w:tcW w:w="993" w:type="dxa"/>
            <w:vAlign w:val="center"/>
          </w:tcPr>
          <w:p w14:paraId="058040E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447ADD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CE4367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A096F2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6F93C5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92FBF99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37BB3E4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254FE5A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5293D2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A1C286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54707C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103448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</w:p>
        </w:tc>
        <w:tc>
          <w:tcPr>
            <w:tcW w:w="993" w:type="dxa"/>
            <w:vAlign w:val="center"/>
          </w:tcPr>
          <w:p w14:paraId="0567B41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674F58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FFB283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1426B1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C12681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00B1AC0" w14:textId="77777777" w:rsidTr="00782658">
        <w:trPr>
          <w:trHeight w:val="397"/>
          <w:jc w:val="center"/>
        </w:trPr>
        <w:tc>
          <w:tcPr>
            <w:tcW w:w="2364" w:type="dxa"/>
            <w:vMerge/>
            <w:vAlign w:val="center"/>
          </w:tcPr>
          <w:p w14:paraId="37D645D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464" w:type="dxa"/>
            <w:vMerge/>
            <w:vAlign w:val="center"/>
          </w:tcPr>
          <w:p w14:paraId="324253A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58FDB8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AE583C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1FE9E2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0050A44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10-2.5</w:t>
            </w:r>
          </w:p>
        </w:tc>
        <w:tc>
          <w:tcPr>
            <w:tcW w:w="993" w:type="dxa"/>
            <w:vAlign w:val="center"/>
          </w:tcPr>
          <w:p w14:paraId="7C67A7F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FA3E11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CFDE1F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2D3126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2674F5E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0D4383F" w14:textId="77777777" w:rsidTr="00782658">
        <w:trPr>
          <w:trHeight w:hRule="exact" w:val="567"/>
          <w:jc w:val="center"/>
        </w:trPr>
        <w:tc>
          <w:tcPr>
            <w:tcW w:w="2364" w:type="dxa"/>
            <w:vMerge w:val="restart"/>
            <w:vAlign w:val="center"/>
          </w:tcPr>
          <w:p w14:paraId="750E248B" w14:textId="3C56F49B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Sheth et al.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</w:t>
            </w:r>
            <w:r w:rsidR="00FE43AE"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30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]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(2019)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Texas</w:t>
            </w:r>
          </w:p>
          <w:p w14:paraId="3A9CDEC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(1999-2008)</w:t>
            </w:r>
          </w:p>
        </w:tc>
        <w:tc>
          <w:tcPr>
            <w:tcW w:w="1464" w:type="dxa"/>
            <w:vMerge w:val="restart"/>
            <w:vAlign w:val="center"/>
          </w:tcPr>
          <w:p w14:paraId="2F1C7DD9" w14:textId="4DD36BC6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D15FC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Merge w:val="restart"/>
            <w:vAlign w:val="center"/>
          </w:tcPr>
          <w:p w14:paraId="7314AEB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ases:8981</w:t>
            </w:r>
          </w:p>
          <w:p w14:paraId="7B7FAE3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ontrols:89810</w:t>
            </w:r>
          </w:p>
          <w:p w14:paraId="6C4B916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A160E6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</w:t>
            </w:r>
            <w:r>
              <w:rPr>
                <w:rFonts w:ascii="Times New Roman" w:eastAsia="SimSun" w:hAnsi="Times New Roman" w:cs="Times New Roman"/>
                <w:szCs w:val="21"/>
              </w:rPr>
              <w:t>renatal</w:t>
            </w:r>
          </w:p>
        </w:tc>
        <w:tc>
          <w:tcPr>
            <w:tcW w:w="2127" w:type="dxa"/>
            <w:vMerge w:val="restart"/>
            <w:vAlign w:val="center"/>
          </w:tcPr>
          <w:p w14:paraId="2B32AA1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The 2005 NATA Hazardous Air Pollutant Exposure</w:t>
            </w:r>
          </w:p>
          <w:p w14:paraId="51B3B15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Model, version 5 (HAPEM5)</w:t>
            </w:r>
          </w:p>
        </w:tc>
        <w:tc>
          <w:tcPr>
            <w:tcW w:w="1842" w:type="dxa"/>
            <w:vAlign w:val="center"/>
          </w:tcPr>
          <w:p w14:paraId="75A7E61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Biphenyl</w:t>
            </w:r>
          </w:p>
          <w:p w14:paraId="45321D9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(high vs low)</w:t>
            </w:r>
          </w:p>
        </w:tc>
        <w:tc>
          <w:tcPr>
            <w:tcW w:w="993" w:type="dxa"/>
            <w:vAlign w:val="center"/>
          </w:tcPr>
          <w:p w14:paraId="2EA6678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0DD691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0914D40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F15AC2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D7A888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B0A983A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487EB25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F8B705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361AC2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3516E36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4A1EFB4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19B8FB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4-Nitrophenol</w:t>
            </w:r>
          </w:p>
        </w:tc>
        <w:tc>
          <w:tcPr>
            <w:tcW w:w="993" w:type="dxa"/>
            <w:vAlign w:val="center"/>
          </w:tcPr>
          <w:p w14:paraId="67E62C8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4476CA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320C15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AA65C6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B32E86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1217D4A" w14:textId="77777777" w:rsidTr="00782658">
        <w:trPr>
          <w:trHeight w:hRule="exact" w:val="567"/>
          <w:jc w:val="center"/>
        </w:trPr>
        <w:tc>
          <w:tcPr>
            <w:tcW w:w="2364" w:type="dxa"/>
            <w:vMerge/>
            <w:vAlign w:val="center"/>
          </w:tcPr>
          <w:p w14:paraId="507EB69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830CB8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2FCC4B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6614B0E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42D3356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BB4A60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Bis(2-ethylhexyl)</w:t>
            </w:r>
          </w:p>
          <w:p w14:paraId="1C5347A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phthalate</w:t>
            </w:r>
          </w:p>
        </w:tc>
        <w:tc>
          <w:tcPr>
            <w:tcW w:w="993" w:type="dxa"/>
            <w:vAlign w:val="center"/>
          </w:tcPr>
          <w:p w14:paraId="41F14A2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0B5BA1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6B1DA7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017626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C26A1F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047855A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2CD06F0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33F3B3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BCFECF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32C1E7B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3E23AB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8F3F21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Cresols</w:t>
            </w:r>
          </w:p>
        </w:tc>
        <w:tc>
          <w:tcPr>
            <w:tcW w:w="993" w:type="dxa"/>
            <w:vAlign w:val="center"/>
          </w:tcPr>
          <w:p w14:paraId="319A8A1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0B036E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336E54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C06B8D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8ED3CF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18D7928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42D3901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94B4CE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8D2C4A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78CF79C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4A80E20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D6CDD4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Dibutylphthalate</w:t>
            </w:r>
          </w:p>
        </w:tc>
        <w:tc>
          <w:tcPr>
            <w:tcW w:w="993" w:type="dxa"/>
            <w:vAlign w:val="center"/>
          </w:tcPr>
          <w:p w14:paraId="6471840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1E2997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D27634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B18288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8D6BFE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E4A3778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4B6DC4C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D21F60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AE95E0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55C96F2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BB972D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476CBB8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Dimethyl phthalate</w:t>
            </w:r>
          </w:p>
        </w:tc>
        <w:tc>
          <w:tcPr>
            <w:tcW w:w="993" w:type="dxa"/>
            <w:vAlign w:val="center"/>
          </w:tcPr>
          <w:p w14:paraId="5C71F4C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AC7A90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8ACDA6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A44296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43F4B82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7687E59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203EB50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0B2F35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C2DC30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52A05B8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6CE5394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0D2C803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Naphthalene</w:t>
            </w:r>
          </w:p>
        </w:tc>
        <w:tc>
          <w:tcPr>
            <w:tcW w:w="993" w:type="dxa"/>
            <w:vAlign w:val="center"/>
          </w:tcPr>
          <w:p w14:paraId="214FDA8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F804DA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482FF83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352ACD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5BEE51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30A9395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0EC3FCF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FCD5BE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44AF57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5AB7ECE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D088B3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BD0F43A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Pentachlorophenol</w:t>
            </w:r>
          </w:p>
        </w:tc>
        <w:tc>
          <w:tcPr>
            <w:tcW w:w="993" w:type="dxa"/>
            <w:vAlign w:val="center"/>
          </w:tcPr>
          <w:p w14:paraId="0A36209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98D6B0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14F65B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DFD576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7B0FAA7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5A18A60A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67CC8F9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DACC91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8AAD37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2C7F55D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C0D229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EF52D57" w14:textId="77777777" w:rsidR="00A058AA" w:rsidRPr="00336835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36835">
              <w:rPr>
                <w:rFonts w:ascii="Times New Roman" w:eastAsia="SimSun" w:hAnsi="Times New Roman" w:cs="Times New Roman"/>
                <w:color w:val="000000"/>
                <w:szCs w:val="21"/>
              </w:rPr>
              <w:t>Phenol</w:t>
            </w:r>
          </w:p>
          <w:p w14:paraId="6ED90957" w14:textId="77777777" w:rsidR="00A058AA" w:rsidRPr="00336835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7484B4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B7D12F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84CCF8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5C2C41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BEA645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BD2A353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7EA6A33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9CFC60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2EBCC3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7B050D4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BDB2D5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26746A2" w14:textId="77777777" w:rsidR="00A058AA" w:rsidRPr="00336835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36835">
              <w:rPr>
                <w:rFonts w:ascii="Times New Roman" w:eastAsia="SimSun" w:hAnsi="Times New Roman" w:cs="Times New Roman"/>
                <w:color w:val="000000"/>
                <w:szCs w:val="21"/>
              </w:rPr>
              <w:t>Polychlorinated biphenyls</w:t>
            </w:r>
          </w:p>
        </w:tc>
        <w:tc>
          <w:tcPr>
            <w:tcW w:w="993" w:type="dxa"/>
            <w:vAlign w:val="center"/>
          </w:tcPr>
          <w:p w14:paraId="7F0DA17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8F96DA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3F0D53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930A39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A01381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E848F12" w14:textId="77777777" w:rsidTr="00782658">
        <w:trPr>
          <w:trHeight w:hRule="exact" w:val="567"/>
          <w:jc w:val="center"/>
        </w:trPr>
        <w:tc>
          <w:tcPr>
            <w:tcW w:w="2364" w:type="dxa"/>
            <w:vMerge w:val="restart"/>
            <w:vAlign w:val="center"/>
          </w:tcPr>
          <w:p w14:paraId="0AD08B7C" w14:textId="77777777" w:rsidR="00A058AA" w:rsidRPr="003673E0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White e</w:t>
            </w:r>
            <w:r w:rsidRPr="005A285C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t al.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[21]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 w:rsidRPr="005A285C">
              <w:rPr>
                <w:rFonts w:ascii="Times New Roman" w:eastAsia="SimSun" w:hAnsi="Times New Roman" w:cs="Times New Roman"/>
                <w:color w:val="000000"/>
                <w:szCs w:val="21"/>
              </w:rPr>
              <w:t>(2019);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Texas,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U.S.</w:t>
            </w:r>
          </w:p>
          <w:p w14:paraId="7D83CFE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(1999-2008)</w:t>
            </w:r>
          </w:p>
        </w:tc>
        <w:tc>
          <w:tcPr>
            <w:tcW w:w="1464" w:type="dxa"/>
            <w:vMerge w:val="restart"/>
            <w:vAlign w:val="center"/>
          </w:tcPr>
          <w:p w14:paraId="44CC22DE" w14:textId="40BE880F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D15FC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Merge w:val="restart"/>
            <w:vAlign w:val="center"/>
          </w:tcPr>
          <w:p w14:paraId="666276F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ases:8981</w:t>
            </w:r>
          </w:p>
          <w:p w14:paraId="6A7BA7A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ontrols:89810</w:t>
            </w:r>
          </w:p>
        </w:tc>
        <w:tc>
          <w:tcPr>
            <w:tcW w:w="1275" w:type="dxa"/>
            <w:vMerge w:val="restart"/>
            <w:vAlign w:val="center"/>
          </w:tcPr>
          <w:p w14:paraId="24DC2A3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</w:t>
            </w:r>
            <w:r>
              <w:rPr>
                <w:rFonts w:ascii="Times New Roman" w:eastAsia="SimSun" w:hAnsi="Times New Roman" w:cs="Times New Roman"/>
                <w:szCs w:val="21"/>
              </w:rPr>
              <w:t>renatal</w:t>
            </w:r>
          </w:p>
        </w:tc>
        <w:tc>
          <w:tcPr>
            <w:tcW w:w="2127" w:type="dxa"/>
            <w:vMerge w:val="restart"/>
            <w:vAlign w:val="center"/>
          </w:tcPr>
          <w:p w14:paraId="2D4BF9F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The 2005 NATA Hazardous Air</w:t>
            </w:r>
          </w:p>
          <w:p w14:paraId="56C2245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Pollutant Exposure Model, version 5 (HAPEM5)</w:t>
            </w:r>
          </w:p>
        </w:tc>
        <w:tc>
          <w:tcPr>
            <w:tcW w:w="1842" w:type="dxa"/>
            <w:vAlign w:val="center"/>
          </w:tcPr>
          <w:p w14:paraId="70FA129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Arsenic</w:t>
            </w:r>
          </w:p>
          <w:p w14:paraId="44A8595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(high vs low)</w:t>
            </w:r>
          </w:p>
        </w:tc>
        <w:tc>
          <w:tcPr>
            <w:tcW w:w="993" w:type="dxa"/>
            <w:vAlign w:val="center"/>
          </w:tcPr>
          <w:p w14:paraId="0979204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6D7EEF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4F6D21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BE6B93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4D5B317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1E99DA7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7E71894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4ABECD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2A9C6C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63A9B0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159346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63B3DD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Cadmium</w:t>
            </w:r>
          </w:p>
        </w:tc>
        <w:tc>
          <w:tcPr>
            <w:tcW w:w="993" w:type="dxa"/>
            <w:vAlign w:val="center"/>
          </w:tcPr>
          <w:p w14:paraId="39C10BD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DF04A7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666824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65A030E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D813C0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17E680B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2A52153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A03C6A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DE8C3F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5B1D52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624A586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92F876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Chromium</w:t>
            </w:r>
          </w:p>
        </w:tc>
        <w:tc>
          <w:tcPr>
            <w:tcW w:w="993" w:type="dxa"/>
            <w:vAlign w:val="center"/>
          </w:tcPr>
          <w:p w14:paraId="0F6AFFB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6E011C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D15D48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98740D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14CE82D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6913B36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796A441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CC2F4E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E39435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5DA28B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D58DDD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542F6B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Lead</w:t>
            </w:r>
          </w:p>
        </w:tc>
        <w:tc>
          <w:tcPr>
            <w:tcW w:w="993" w:type="dxa"/>
            <w:vAlign w:val="center"/>
          </w:tcPr>
          <w:p w14:paraId="34FEB4A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A642D2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025E30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883488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4F832E3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062CAC11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3C99862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8BC194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322787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C74EFA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1D1AEC3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CE5520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Manganese</w:t>
            </w:r>
          </w:p>
        </w:tc>
        <w:tc>
          <w:tcPr>
            <w:tcW w:w="993" w:type="dxa"/>
            <w:vAlign w:val="center"/>
          </w:tcPr>
          <w:p w14:paraId="7487972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0BF76A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C37043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5AA546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7274CEC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E7B3D35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7AD1B5A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A32D1A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AA316E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DB20D6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2B8394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07B0A7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Mercury</w:t>
            </w:r>
          </w:p>
        </w:tc>
        <w:tc>
          <w:tcPr>
            <w:tcW w:w="993" w:type="dxa"/>
            <w:vAlign w:val="center"/>
          </w:tcPr>
          <w:p w14:paraId="3B4EADF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473AE1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4E9D93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A3F8D7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0322F0C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7510CE0" w14:textId="77777777" w:rsidTr="00782658">
        <w:trPr>
          <w:trHeight w:hRule="exact" w:val="397"/>
          <w:jc w:val="center"/>
        </w:trPr>
        <w:tc>
          <w:tcPr>
            <w:tcW w:w="2364" w:type="dxa"/>
            <w:vMerge/>
            <w:vAlign w:val="center"/>
          </w:tcPr>
          <w:p w14:paraId="08E8085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894427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AC7127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21D534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7A0F923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26A461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Nickel</w:t>
            </w:r>
          </w:p>
        </w:tc>
        <w:tc>
          <w:tcPr>
            <w:tcW w:w="993" w:type="dxa"/>
            <w:vAlign w:val="center"/>
          </w:tcPr>
          <w:p w14:paraId="0210AE7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501BC3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E9F1BB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8F65A9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DFE7EB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01E9ACC" w14:textId="77777777" w:rsidTr="00782658">
        <w:trPr>
          <w:trHeight w:val="1488"/>
          <w:jc w:val="center"/>
        </w:trPr>
        <w:tc>
          <w:tcPr>
            <w:tcW w:w="2364" w:type="dxa"/>
            <w:vMerge w:val="restart"/>
            <w:vAlign w:val="center"/>
          </w:tcPr>
          <w:p w14:paraId="0B67BCA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Parkes et al.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 xml:space="preserve">[22]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20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)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;</w:t>
            </w:r>
          </w:p>
          <w:p w14:paraId="25BD0CE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England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and Scotland</w:t>
            </w:r>
          </w:p>
          <w:p w14:paraId="60A43F7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(2003-2010)</w:t>
            </w:r>
          </w:p>
        </w:tc>
        <w:tc>
          <w:tcPr>
            <w:tcW w:w="1464" w:type="dxa"/>
            <w:vMerge w:val="restart"/>
            <w:vAlign w:val="center"/>
          </w:tcPr>
          <w:p w14:paraId="1823EB16" w14:textId="205873D8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36835">
              <w:rPr>
                <w:rFonts w:ascii="Times New Roman" w:eastAsia="SimSun" w:hAnsi="Times New Roman" w:cs="Times New Roman"/>
                <w:szCs w:val="21"/>
              </w:rPr>
              <w:t>Cohort study</w:t>
            </w:r>
            <w:r w:rsidR="00C17AF5">
              <w:rPr>
                <w:rFonts w:ascii="Times New Roman" w:eastAsia="SimSun" w:hAnsi="Times New Roman" w:cs="Times New Roman"/>
                <w:szCs w:val="21"/>
              </w:rPr>
              <w:t>/</w:t>
            </w:r>
            <w:r w:rsidR="00C17AF5">
              <w:rPr>
                <w:rFonts w:ascii="SimSun" w:eastAsia="SimSun" w:hAnsi="SimSun" w:cs="Times New Roman" w:hint="eastAsia"/>
                <w:szCs w:val="21"/>
              </w:rPr>
              <w:t>Ⅱ</w:t>
            </w:r>
          </w:p>
        </w:tc>
        <w:tc>
          <w:tcPr>
            <w:tcW w:w="1938" w:type="dxa"/>
            <w:vMerge w:val="restart"/>
            <w:vAlign w:val="center"/>
          </w:tcPr>
          <w:p w14:paraId="34FE749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407/ 216004</w:t>
            </w:r>
          </w:p>
        </w:tc>
        <w:tc>
          <w:tcPr>
            <w:tcW w:w="1275" w:type="dxa"/>
            <w:vMerge w:val="restart"/>
            <w:vAlign w:val="center"/>
          </w:tcPr>
          <w:p w14:paraId="20CAED1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Over 91 day pre-pregnancy period plus first trimester of pregnancy</w:t>
            </w:r>
          </w:p>
        </w:tc>
        <w:tc>
          <w:tcPr>
            <w:tcW w:w="2127" w:type="dxa"/>
            <w:vMerge w:val="restart"/>
            <w:vAlign w:val="center"/>
          </w:tcPr>
          <w:p w14:paraId="23F756D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Dispersion model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; </w:t>
            </w:r>
            <w:r>
              <w:rPr>
                <w:rFonts w:ascii="Times New Roman" w:eastAsia="SimSun" w:hAnsi="Times New Roman" w:cs="Times New Roman"/>
                <w:szCs w:val="21"/>
              </w:rPr>
              <w:t>calculated as a continuous measure of straight line distance of the MWI coordinates to the postcode centroid of mother's residence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CB3FC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  <w:vertAlign w:val="sub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</w:p>
        </w:tc>
        <w:tc>
          <w:tcPr>
            <w:tcW w:w="993" w:type="dxa"/>
          </w:tcPr>
          <w:p w14:paraId="2A59E486" w14:textId="77777777" w:rsidR="00A058AA" w:rsidRDefault="00A058AA" w:rsidP="00E550B7">
            <w:pPr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</w:tcPr>
          <w:p w14:paraId="55A0A37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EAD2F88" w14:textId="77777777" w:rsidR="00A058AA" w:rsidRDefault="00A058AA" w:rsidP="00E550B7">
            <w:pPr>
              <w:ind w:firstLineChars="100" w:firstLine="210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2505399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  <w:p w14:paraId="547E3C4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  <w:p w14:paraId="09DA55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  <w:p w14:paraId="180F82D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  <w:p w14:paraId="261C574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  <w:p w14:paraId="284D872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146B1C5" w14:textId="77777777" w:rsidR="00A058AA" w:rsidRDefault="00A058AA" w:rsidP="00E550B7">
            <w:pPr>
              <w:ind w:firstLineChars="200" w:firstLine="420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BF884B6" w14:textId="77777777" w:rsidTr="00782658">
        <w:trPr>
          <w:trHeight w:val="1488"/>
          <w:jc w:val="center"/>
        </w:trPr>
        <w:tc>
          <w:tcPr>
            <w:tcW w:w="2364" w:type="dxa"/>
            <w:vMerge/>
            <w:tcBorders>
              <w:bottom w:val="single" w:sz="4" w:space="0" w:color="auto"/>
            </w:tcBorders>
            <w:vAlign w:val="center"/>
          </w:tcPr>
          <w:p w14:paraId="412561D8" w14:textId="77777777" w:rsidR="00A058AA" w:rsidRDefault="00A058AA" w:rsidP="00E550B7">
            <w:pPr>
              <w:jc w:val="center"/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14:paraId="52277E39" w14:textId="77777777" w:rsidR="00A058AA" w:rsidRDefault="00A058AA" w:rsidP="00E550B7">
            <w:pPr>
              <w:jc w:val="center"/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  <w:vAlign w:val="center"/>
          </w:tcPr>
          <w:p w14:paraId="502239FB" w14:textId="77777777" w:rsidR="00A058AA" w:rsidRDefault="00A058AA" w:rsidP="00E550B7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C1733E4" w14:textId="77777777" w:rsidR="00A058AA" w:rsidRDefault="00A058AA" w:rsidP="00E550B7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312E8646" w14:textId="77777777" w:rsidR="00A058AA" w:rsidRDefault="00A058AA" w:rsidP="00E550B7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E1FA1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Proximity to nearest MWI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44AD0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5DADFF5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77298FB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107C050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00DA90F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A058AA" w14:paraId="0612B882" w14:textId="77777777" w:rsidTr="00360C08">
        <w:trPr>
          <w:trHeight w:val="35"/>
          <w:jc w:val="center"/>
        </w:trPr>
        <w:tc>
          <w:tcPr>
            <w:tcW w:w="2364" w:type="dxa"/>
            <w:vMerge w:val="restart"/>
            <w:vAlign w:val="center"/>
          </w:tcPr>
          <w:p w14:paraId="6808154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Huan</w:t>
            </w:r>
            <w:r w:rsidRPr="005A285C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g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et al.</w:t>
            </w: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80000"/>
                <w:kern w:val="0"/>
                <w:szCs w:val="21"/>
              </w:rPr>
              <w:t>[20]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(2020);</w:t>
            </w:r>
          </w:p>
          <w:p w14:paraId="192638D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China</w:t>
            </w:r>
          </w:p>
          <w:p w14:paraId="6A5E577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(2007–2014)</w:t>
            </w:r>
          </w:p>
        </w:tc>
        <w:tc>
          <w:tcPr>
            <w:tcW w:w="1464" w:type="dxa"/>
            <w:vMerge w:val="restart"/>
            <w:vAlign w:val="center"/>
          </w:tcPr>
          <w:p w14:paraId="404EF44F" w14:textId="68766C15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Case-control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study</w:t>
            </w:r>
            <w:r w:rsidR="00ED15FC">
              <w:rPr>
                <w:rFonts w:ascii="Times New Roman" w:eastAsia="SimSun" w:hAnsi="Times New Roman" w:cs="Times New Roman"/>
                <w:szCs w:val="21"/>
              </w:rPr>
              <w:t>/Ⅲ</w:t>
            </w:r>
          </w:p>
        </w:tc>
        <w:tc>
          <w:tcPr>
            <w:tcW w:w="1938" w:type="dxa"/>
            <w:vMerge w:val="restart"/>
            <w:vAlign w:val="center"/>
          </w:tcPr>
          <w:p w14:paraId="2FFF406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ases:200</w:t>
            </w:r>
          </w:p>
          <w:p w14:paraId="6E55C69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SimSun" w:hAnsi="Times New Roman" w:cs="Times New Roman"/>
                <w:szCs w:val="21"/>
              </w:rPr>
              <w:t>ontrols:</w:t>
            </w:r>
          </w:p>
          <w:p w14:paraId="6BB08AA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2000</w:t>
            </w:r>
          </w:p>
        </w:tc>
        <w:tc>
          <w:tcPr>
            <w:tcW w:w="1275" w:type="dxa"/>
            <w:vMerge w:val="restart"/>
            <w:vAlign w:val="center"/>
          </w:tcPr>
          <w:p w14:paraId="6EC36BC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From 3 months before to 6 months after conception</w:t>
            </w:r>
          </w:p>
        </w:tc>
        <w:tc>
          <w:tcPr>
            <w:tcW w:w="2127" w:type="dxa"/>
            <w:vMerge w:val="restart"/>
            <w:vAlign w:val="center"/>
          </w:tcPr>
          <w:p w14:paraId="5A098B2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The ordinary kriging method</w:t>
            </w:r>
          </w:p>
        </w:tc>
        <w:tc>
          <w:tcPr>
            <w:tcW w:w="1842" w:type="dxa"/>
            <w:vAlign w:val="center"/>
          </w:tcPr>
          <w:p w14:paraId="3B2D22E0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  <w:vertAlign w:val="subscript"/>
              </w:rPr>
              <w:t>10</w:t>
            </w:r>
          </w:p>
        </w:tc>
        <w:tc>
          <w:tcPr>
            <w:tcW w:w="4975" w:type="dxa"/>
            <w:gridSpan w:val="5"/>
            <w:vAlign w:val="center"/>
          </w:tcPr>
          <w:p w14:paraId="4D9FC9E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1560C5D" w14:textId="77777777" w:rsidTr="00782658">
        <w:trPr>
          <w:trHeight w:val="90"/>
          <w:jc w:val="center"/>
        </w:trPr>
        <w:tc>
          <w:tcPr>
            <w:tcW w:w="2364" w:type="dxa"/>
            <w:vMerge/>
            <w:vAlign w:val="center"/>
          </w:tcPr>
          <w:p w14:paraId="173D0F2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C7BCA7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41271D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2A6640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458445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942E212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</w:tc>
        <w:tc>
          <w:tcPr>
            <w:tcW w:w="993" w:type="dxa"/>
            <w:vAlign w:val="center"/>
          </w:tcPr>
          <w:p w14:paraId="45E7C147" w14:textId="77777777" w:rsidR="00A058AA" w:rsidRDefault="00A058AA" w:rsidP="00E550B7">
            <w:pPr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6EE9A7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AA94AC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BA6BC4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692305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1E8E66E7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D254EE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B5115B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0B9E0F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5F96B6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1C9952C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09CE1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3034703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66C1033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5A4E85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27119A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7F21EA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DD3568F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580E5FF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A85765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D19534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F9D823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18988E1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F9088C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56DB6A5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A8B931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796295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6BC44C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FA8125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6178C6F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FACA17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CBA185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A445C2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B8F438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721DFD8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3936D6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49D9923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ACA1FF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73A23F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0C82D2F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1E4EAF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DC25CA9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0732B5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D53224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9566D3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3A96B3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1583F84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2D86B9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43A4A21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DEA966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B990D0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995283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A35D1E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EB54D59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469C63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8E516F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7AE374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18A7D5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48F6A24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8BC88C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Post-conception</w:t>
            </w:r>
          </w:p>
        </w:tc>
        <w:tc>
          <w:tcPr>
            <w:tcW w:w="4975" w:type="dxa"/>
            <w:gridSpan w:val="5"/>
            <w:vAlign w:val="center"/>
          </w:tcPr>
          <w:p w14:paraId="33D85EB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BF96B01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5C6506C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AC1EA0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C3B809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1C19C6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3B99795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9D04C8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1715B08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622668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0C39B4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B2833D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05A1C3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4CA533A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A8AFD5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1252BA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A08589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D3C930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7E0F6C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C678FC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0C037F3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D34241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45A632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A9A70F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1EC642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2F4EC93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0E7C0F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5E2E65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CAADE2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218B25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87E945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0D943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52FAEA5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EFBFDE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448E7B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BEDBB3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A34B44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2328F47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92482A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8B4B31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747F15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E0385F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837B81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C9D1B6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month:</w:t>
            </w:r>
          </w:p>
        </w:tc>
        <w:tc>
          <w:tcPr>
            <w:tcW w:w="993" w:type="dxa"/>
            <w:vAlign w:val="center"/>
          </w:tcPr>
          <w:p w14:paraId="6230ECD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9FC188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745D40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CE2DF7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6A48FE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6BA7518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8AF6D4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CFF6E5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E38F91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AB7C59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1723DF3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6360A2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3–4 month</w:t>
            </w:r>
          </w:p>
        </w:tc>
        <w:tc>
          <w:tcPr>
            <w:tcW w:w="993" w:type="dxa"/>
            <w:vAlign w:val="center"/>
          </w:tcPr>
          <w:p w14:paraId="7230729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7A86DA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382BFF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A0C021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9B9C4A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94C1D0B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A2ACA3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69BCE0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23B078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D9BC57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BF34BC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FAE301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4–5 month</w:t>
            </w:r>
          </w:p>
        </w:tc>
        <w:tc>
          <w:tcPr>
            <w:tcW w:w="993" w:type="dxa"/>
            <w:vAlign w:val="center"/>
          </w:tcPr>
          <w:p w14:paraId="28788BD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398D57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942692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3C91A7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508450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23151FC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802F52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482CD6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90FB1A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A1F327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69DF5D5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90D8EB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5–6 month</w:t>
            </w:r>
          </w:p>
        </w:tc>
        <w:tc>
          <w:tcPr>
            <w:tcW w:w="993" w:type="dxa"/>
            <w:vAlign w:val="center"/>
          </w:tcPr>
          <w:p w14:paraId="58295C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5CF4A2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C5DCE2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5BBA42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A949BF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BB78D64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923344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699217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BA6C43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7C2BCA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4CC863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5450E1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3–6 month</w:t>
            </w:r>
          </w:p>
        </w:tc>
        <w:tc>
          <w:tcPr>
            <w:tcW w:w="993" w:type="dxa"/>
            <w:vAlign w:val="center"/>
          </w:tcPr>
          <w:p w14:paraId="053A981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3E8ACD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03BF78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793785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F7D79D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86E073A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BB81D6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14C25C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151E95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E722C6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D1DB43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796C119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  <w:vertAlign w:val="subscript"/>
              </w:rPr>
              <w:t xml:space="preserve">2.5 </w:t>
            </w:r>
          </w:p>
        </w:tc>
        <w:tc>
          <w:tcPr>
            <w:tcW w:w="4975" w:type="dxa"/>
            <w:gridSpan w:val="5"/>
            <w:vAlign w:val="center"/>
          </w:tcPr>
          <w:p w14:paraId="1D7ABB3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556E9CD9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017FD6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361679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AD0839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C544C7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7906FFB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C8D2B8F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</w:tc>
        <w:tc>
          <w:tcPr>
            <w:tcW w:w="993" w:type="dxa"/>
            <w:vAlign w:val="center"/>
          </w:tcPr>
          <w:p w14:paraId="6ECCCE3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20FCF7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397377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B388AC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330E28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054C8070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F8401D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647096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E411AD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2AED90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8C8F3B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03B0F0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34BC149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E6F0CF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5525D3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3CDF05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E8B691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EDE0FDE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2E808A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AA1B35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8699F9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71C4A4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135A919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490E56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15BDE1E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08F74C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A80537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80F775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4612BE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68EB24C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8136E0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C71974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CC46AB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63F8B2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3EC9733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155D2F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648BC46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0FA2F0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78EB25A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010C9D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F1C2A4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D423CE4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B5AD28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64BFC8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C23C5A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363304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4F3FD0A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E33C39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02E2A76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C3C314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C3BEA2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192DE3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A62D99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63AC08C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1126B1C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47FB71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29F373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114D36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6FEDB4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A2F20D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Post-conception</w:t>
            </w:r>
          </w:p>
        </w:tc>
        <w:tc>
          <w:tcPr>
            <w:tcW w:w="4975" w:type="dxa"/>
            <w:gridSpan w:val="5"/>
            <w:vAlign w:val="center"/>
          </w:tcPr>
          <w:p w14:paraId="7D0C919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07F77D1E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6F9A19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1B8D27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A6E99C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00D9DB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3568411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95A70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3735C70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52151C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A4A166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74A5D9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AF51A1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DC0D5DD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C878C5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71EBD8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15A473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F6B4BB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244AEE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FF6C4D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58EA155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740B18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7E7272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9D5522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7BDF73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B0E0EF0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9D9489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FC1AEE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45EBD2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18BBC6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18C8055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C82154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357623F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04FCF1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0C997C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0D16E8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6D8965A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0E4ADD9C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55FE17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A5A12C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C8F807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84007C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B785B0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49ED2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month:</w:t>
            </w:r>
          </w:p>
        </w:tc>
        <w:tc>
          <w:tcPr>
            <w:tcW w:w="993" w:type="dxa"/>
            <w:vAlign w:val="center"/>
          </w:tcPr>
          <w:p w14:paraId="061C769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CFE753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8E4A51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69D32F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27B9645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073FBBEC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9245D2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3164C7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980BDB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AFABD5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603EA4B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E42192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3–4 month</w:t>
            </w:r>
          </w:p>
        </w:tc>
        <w:tc>
          <w:tcPr>
            <w:tcW w:w="993" w:type="dxa"/>
            <w:vAlign w:val="center"/>
          </w:tcPr>
          <w:p w14:paraId="28CD00F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BAA8B8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8B7695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F50603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988916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B9A002D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318FE9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0EAAC2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5DA7BA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9C7883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6C0B2A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9930F0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4–5 month</w:t>
            </w:r>
          </w:p>
        </w:tc>
        <w:tc>
          <w:tcPr>
            <w:tcW w:w="993" w:type="dxa"/>
            <w:vAlign w:val="center"/>
          </w:tcPr>
          <w:p w14:paraId="09B56A2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FB4FF8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DBBB6D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561EC9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8BDFCD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47570C3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E05950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733808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DD71B2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0398C1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AC0684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26C894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5–6 month</w:t>
            </w:r>
          </w:p>
        </w:tc>
        <w:tc>
          <w:tcPr>
            <w:tcW w:w="993" w:type="dxa"/>
            <w:vAlign w:val="center"/>
          </w:tcPr>
          <w:p w14:paraId="68DAAEA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86AF1F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9D08A0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04B584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587593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13A2079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873B90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A8D8F9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3C9819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47D8ED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6FDDBA2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83B412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3–6 month</w:t>
            </w:r>
          </w:p>
        </w:tc>
        <w:tc>
          <w:tcPr>
            <w:tcW w:w="993" w:type="dxa"/>
            <w:vAlign w:val="center"/>
          </w:tcPr>
          <w:p w14:paraId="043F976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69F947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30FA1D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9BFFA8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4FA4BC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157F0AD" w14:textId="77777777" w:rsidTr="00360C08">
        <w:trPr>
          <w:trHeight w:val="90"/>
          <w:jc w:val="center"/>
        </w:trPr>
        <w:tc>
          <w:tcPr>
            <w:tcW w:w="2364" w:type="dxa"/>
            <w:vMerge/>
            <w:vAlign w:val="center"/>
          </w:tcPr>
          <w:p w14:paraId="1DFC90F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D52557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AA5B6D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264616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7FF9533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AFADBB9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PM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  <w:vertAlign w:val="subscript"/>
              </w:rPr>
              <w:t>2.5–10</w:t>
            </w:r>
          </w:p>
        </w:tc>
        <w:tc>
          <w:tcPr>
            <w:tcW w:w="4975" w:type="dxa"/>
            <w:gridSpan w:val="5"/>
            <w:vAlign w:val="center"/>
          </w:tcPr>
          <w:p w14:paraId="24CC013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5CFA4E0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5B8F82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4160D0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CFE72E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889D11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4A2757C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25ED012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</w:tc>
        <w:tc>
          <w:tcPr>
            <w:tcW w:w="993" w:type="dxa"/>
            <w:vAlign w:val="center"/>
          </w:tcPr>
          <w:p w14:paraId="6A6122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B763C4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1F45D1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6A3421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02C7D4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61CE172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9F4FE2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6C782D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EF3A6C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45137D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AD82B5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2047D1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713F507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4FFBEA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0241CE3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19184C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6A07E5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D727632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5D01B19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506221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757272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5859F4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23BD20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BF5976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77BE5F7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D60A37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F6C845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611D011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0BF141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C05413A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1B2D2CB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F19261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2D6663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61C387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3AF7AC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E05478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4B960B3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638280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364441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896403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72A477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A322F86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0A43E7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7FD206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4D068E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A55582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6724DCF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C3EAE8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5BBB2C7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6A6AC6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32FA71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462A948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A917B4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E64453F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256096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9B2EF6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0975DD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9F7107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6640650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F707A4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Post-conception</w:t>
            </w:r>
          </w:p>
        </w:tc>
        <w:tc>
          <w:tcPr>
            <w:tcW w:w="4975" w:type="dxa"/>
            <w:gridSpan w:val="5"/>
            <w:vAlign w:val="center"/>
          </w:tcPr>
          <w:p w14:paraId="29110E7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B45A19D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7C131D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9A1E88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362AB0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4834E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3C21C04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5DA5F7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558E871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7E081C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5AE05B2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C15E4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EECBE1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E50A529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95610C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5CD746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5F6BD4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5C71E7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42E76E8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88019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53B1E1C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6A30A7E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7A528D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61DCD7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05F97D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DE508FF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6DD0D7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95B0C0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4E8B14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DE495C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7552CF9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4F33EC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02BB5D0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68ED03D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7B8A28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13FDC9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9FEC55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D402062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1697049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A98DD0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564B8F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41826D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3D968A1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33BECC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3CF8052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1EBA2F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7D7646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3D337D4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B5955D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179E78B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1027177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6BBC4C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C783DD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E9222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9CFB26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FFB951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3–4 month</w:t>
            </w:r>
          </w:p>
        </w:tc>
        <w:tc>
          <w:tcPr>
            <w:tcW w:w="993" w:type="dxa"/>
            <w:vAlign w:val="center"/>
          </w:tcPr>
          <w:p w14:paraId="4192BF3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5BE552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1D4BD0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3963F6C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AFE1BB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130A6DA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CB46B7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08C191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9AA4A5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4F1AE3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36B4459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CDE5B0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4–5 month</w:t>
            </w:r>
          </w:p>
        </w:tc>
        <w:tc>
          <w:tcPr>
            <w:tcW w:w="993" w:type="dxa"/>
            <w:vAlign w:val="center"/>
          </w:tcPr>
          <w:p w14:paraId="3957014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9D98DB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0A1E557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8C066C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832D56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CC6F6F5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27DF75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587F33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B8A80F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B8334F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7394A7E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8FA023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5–6 month</w:t>
            </w:r>
          </w:p>
        </w:tc>
        <w:tc>
          <w:tcPr>
            <w:tcW w:w="993" w:type="dxa"/>
            <w:vAlign w:val="center"/>
          </w:tcPr>
          <w:p w14:paraId="1A34B65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73446C8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2303EB4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865EF3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996E47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2F08D39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17FCCD0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853407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CDCFFC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54D5A6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390C9A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493D42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3–6 month</w:t>
            </w:r>
          </w:p>
        </w:tc>
        <w:tc>
          <w:tcPr>
            <w:tcW w:w="993" w:type="dxa"/>
            <w:vAlign w:val="center"/>
          </w:tcPr>
          <w:p w14:paraId="663F55A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6C6C8F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318233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00ACD8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97B1C1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BB2BF5C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1667D7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3E88CE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B71A99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28410D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F872C9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C5D1C6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NO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  <w:vertAlign w:val="subscript"/>
              </w:rPr>
              <w:t>2</w:t>
            </w:r>
          </w:p>
        </w:tc>
        <w:tc>
          <w:tcPr>
            <w:tcW w:w="4975" w:type="dxa"/>
            <w:gridSpan w:val="5"/>
            <w:vAlign w:val="center"/>
          </w:tcPr>
          <w:p w14:paraId="130D98F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AD92483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363EEA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BC792C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255A2E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58030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D795F2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444B883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</w:tc>
        <w:tc>
          <w:tcPr>
            <w:tcW w:w="993" w:type="dxa"/>
            <w:vAlign w:val="center"/>
          </w:tcPr>
          <w:p w14:paraId="5B671C6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DBA938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9BBA87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F3BD7E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5D72CA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D431918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75A9C9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A3729F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1510CD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D67865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37990AA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53A5CB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2B04C81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717C860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512F71F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43326D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966868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E0527CB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2268ED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C421E1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F88AE8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99CFD1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6A51E3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785D25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53E2443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A5EF2A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1790BFC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718E79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17A5B1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47F05BA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6D4778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FFB5B9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8F5F4B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EB90AA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BDABF8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1F15DA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23A1B1F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D345D3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2CE80E3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D75757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E29611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107FC6F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80B7DF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BEC854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BC2147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F97F5F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43C4E62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3BED1B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7A8142D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BEECDD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235C45F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5F4F4C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15FBDF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7B01C0C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A6BF54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AADA586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2B3BB8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42F011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6A48B1C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1D91FE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Post-conception</w:t>
            </w:r>
          </w:p>
        </w:tc>
        <w:tc>
          <w:tcPr>
            <w:tcW w:w="4975" w:type="dxa"/>
            <w:gridSpan w:val="5"/>
            <w:vAlign w:val="center"/>
          </w:tcPr>
          <w:p w14:paraId="01A87C2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3BACF8CD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A30B91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A39920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DA4EFB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B8DF88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0844F3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EDF308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2356163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8A028E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734D303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33F2D6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9BCD10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E601E7F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5D1ADD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806AAA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2CDC6A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B49A89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43D47E3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9FC10E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662040F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E69D4B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D117FA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35A7B6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13E4EC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EAB6809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87EECE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853B3B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E230E5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1E9C75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09052C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BC3984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79B566F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F3BA15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DA871D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22562D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F4E6CA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549B1E9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0C2F68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278DAB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16C268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D0EE6C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FB8430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AF10CA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4C7E848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CB0366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F238F5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23FD85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65BA80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F767F83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73B3FA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705442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0137FC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718D9D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6F69046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ADC0A8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3–4 month</w:t>
            </w:r>
          </w:p>
        </w:tc>
        <w:tc>
          <w:tcPr>
            <w:tcW w:w="993" w:type="dxa"/>
            <w:vAlign w:val="center"/>
          </w:tcPr>
          <w:p w14:paraId="568D1F7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EFD993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1EC6DA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638B92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923DA3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329E44F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006AC2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B06BBF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C65D93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A4B98D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133DD0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DB33CB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4–5 month</w:t>
            </w:r>
          </w:p>
        </w:tc>
        <w:tc>
          <w:tcPr>
            <w:tcW w:w="993" w:type="dxa"/>
            <w:vAlign w:val="center"/>
          </w:tcPr>
          <w:p w14:paraId="402D3D4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293BB5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8877C9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0C42B6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0C1501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BB0967F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9288AC1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53600912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648D42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2FFA32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3421DCF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227B20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5–6 month</w:t>
            </w:r>
          </w:p>
        </w:tc>
        <w:tc>
          <w:tcPr>
            <w:tcW w:w="993" w:type="dxa"/>
            <w:vAlign w:val="center"/>
          </w:tcPr>
          <w:p w14:paraId="17E4668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03EB35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073106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322" w:type="dxa"/>
            <w:vAlign w:val="center"/>
          </w:tcPr>
          <w:p w14:paraId="094A47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1A6810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53B200D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08A85B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D3995E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5397F1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9CD4E9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144D3B18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1E0D6B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3–6 month</w:t>
            </w:r>
          </w:p>
        </w:tc>
        <w:tc>
          <w:tcPr>
            <w:tcW w:w="993" w:type="dxa"/>
            <w:vAlign w:val="center"/>
          </w:tcPr>
          <w:p w14:paraId="59992F5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64BB3F1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E6FCDD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2396AD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FC4353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211AC10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8498A15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8432F1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472F2CF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8D9941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5E1211BD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3F5706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NOx</w:t>
            </w:r>
          </w:p>
        </w:tc>
        <w:tc>
          <w:tcPr>
            <w:tcW w:w="4975" w:type="dxa"/>
            <w:gridSpan w:val="5"/>
            <w:vAlign w:val="center"/>
          </w:tcPr>
          <w:p w14:paraId="76FA797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786D523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B02845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A9C66C9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D2001C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FF08063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287A3B0B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437F01B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</w:tc>
        <w:tc>
          <w:tcPr>
            <w:tcW w:w="993" w:type="dxa"/>
            <w:vAlign w:val="center"/>
          </w:tcPr>
          <w:p w14:paraId="2103373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36A191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852491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7CB1C9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613FAB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50829E96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1AAB8D90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2628BBA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997442C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1F318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16BB4D2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A8B8D7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46BFB05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2DD528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FB3B2C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BDD41F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237C4B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7314E4E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E0AAED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AE3545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E275157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568583E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14:paraId="0F0DE9A4" w14:textId="77777777" w:rsidR="00A058AA" w:rsidRDefault="00A058AA" w:rsidP="00E550B7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3C8E50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6D0672E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B73582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030954E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80A735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3F69EA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B1D7510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995AD7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E2BE79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55FC13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584AB3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DA8E1A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2E49B0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371B541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E75272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5F6C039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DD2C4C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9D4932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AF9818D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1420CE5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999A0A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5B5CCF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A85CBF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9EEBC9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6C4C77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6625E4D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6C8210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56A81A7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A0BB93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ECD747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EC67B60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0EBB7F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DFE66D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3BBF83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D2EDD2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79E611D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A46DFD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Post-conception</w:t>
            </w:r>
          </w:p>
        </w:tc>
        <w:tc>
          <w:tcPr>
            <w:tcW w:w="4975" w:type="dxa"/>
            <w:gridSpan w:val="5"/>
            <w:vAlign w:val="center"/>
          </w:tcPr>
          <w:p w14:paraId="5C06DFD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77E83F4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F77C8C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15F196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85EF98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E96CFB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AAA562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3B7C70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3C5AF52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87B364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79DD1CB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2A3DF7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3C1A90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EDD494B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5B98FEA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76D624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A5FCD9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85F734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70D7091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484B96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72CA976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611E966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D7D5E9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DA37B6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3C244F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2C24F3D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1A51A29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8D7DE6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C7C54A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8C7B9A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12AC7C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13E5A3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001873D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4520898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C4896A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7C9266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AD399D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A68E7A0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366811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E74515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F604CB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C6CF75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7B59375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8ACFF1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month:</w:t>
            </w:r>
          </w:p>
        </w:tc>
        <w:tc>
          <w:tcPr>
            <w:tcW w:w="993" w:type="dxa"/>
            <w:vAlign w:val="center"/>
          </w:tcPr>
          <w:p w14:paraId="0FC3D4C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6C6969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6B8BA61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770E4D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108671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FA8AB3D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558ADD8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B61A6A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C429B3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248C12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C26D5E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8E8C58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3–4 month</w:t>
            </w:r>
          </w:p>
        </w:tc>
        <w:tc>
          <w:tcPr>
            <w:tcW w:w="993" w:type="dxa"/>
            <w:vAlign w:val="center"/>
          </w:tcPr>
          <w:p w14:paraId="74ED9D6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ABBA94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6C5A834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76B1D3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34DEDC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DAB7444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4BE0DD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A26B4C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9F2C3F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15483A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24B0B4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3FDC2B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4–5 month</w:t>
            </w:r>
          </w:p>
        </w:tc>
        <w:tc>
          <w:tcPr>
            <w:tcW w:w="993" w:type="dxa"/>
            <w:vAlign w:val="center"/>
          </w:tcPr>
          <w:p w14:paraId="5923F1B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2FC263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2E53AD3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B2882D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C2FB7D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AEDAC0B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598160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692667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97174C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0994A0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3B9218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047A94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5–6 month</w:t>
            </w:r>
          </w:p>
        </w:tc>
        <w:tc>
          <w:tcPr>
            <w:tcW w:w="993" w:type="dxa"/>
            <w:vAlign w:val="center"/>
          </w:tcPr>
          <w:p w14:paraId="18361CD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EFC3E1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5DE5D83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5A5495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0FB7CC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7B02172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5AEDD0C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06E3CC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01E6EC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A8C325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F7404F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0EFCEB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3–6 month</w:t>
            </w:r>
          </w:p>
        </w:tc>
        <w:tc>
          <w:tcPr>
            <w:tcW w:w="993" w:type="dxa"/>
            <w:vAlign w:val="center"/>
          </w:tcPr>
          <w:p w14:paraId="5AD987B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63927E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9BD161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604971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92626E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B9254F2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AFFF9F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925539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805BAF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EE2D5E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F35950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5A3F728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O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  <w:vertAlign w:val="subscript"/>
              </w:rPr>
              <w:t>3</w:t>
            </w:r>
          </w:p>
        </w:tc>
        <w:tc>
          <w:tcPr>
            <w:tcW w:w="4975" w:type="dxa"/>
            <w:gridSpan w:val="5"/>
            <w:vAlign w:val="center"/>
          </w:tcPr>
          <w:p w14:paraId="1E4D6E6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D5D813C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57D1795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A29E07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396175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00A4F1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688906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017921C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</w:tc>
        <w:tc>
          <w:tcPr>
            <w:tcW w:w="993" w:type="dxa"/>
            <w:vAlign w:val="center"/>
          </w:tcPr>
          <w:p w14:paraId="434D10D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7E8BEBA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8DD81C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4C863A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6A46FA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5518D35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733D3E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A544CF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F19344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4F6BF5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9172DA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93EDFE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1C201C9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6F4F8B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4EF638A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6E7628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5BB164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E3A22DA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54A3230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18408F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159509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7473D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08BC1B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C924F9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3403EE6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5DCE49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563B520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CC674B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479583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45E6F36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757DC1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0A412F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1792E4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0F146B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333AA0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00F675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29FC2FB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ABE423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7FFEF23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29E6D8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2DD06E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56A199B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5DD334D" w14:textId="77777777" w:rsidR="00A058AA" w:rsidRDefault="00A058AA" w:rsidP="00E550B7">
            <w:pPr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205CBCB" w14:textId="77777777" w:rsidR="00A058AA" w:rsidRDefault="00A058AA" w:rsidP="00E550B7">
            <w:pPr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367F4C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6263B7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3C39DB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28667B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5946E44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FB1369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1C88FA4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DF750E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3E8CF6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138A960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2653210" w14:textId="77777777" w:rsidR="00A058AA" w:rsidRDefault="00A058AA" w:rsidP="00E550B7">
            <w:pPr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F3E791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5AB822B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518017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4FD4DA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4980F0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Post-conception</w:t>
            </w:r>
          </w:p>
        </w:tc>
        <w:tc>
          <w:tcPr>
            <w:tcW w:w="4975" w:type="dxa"/>
            <w:gridSpan w:val="5"/>
            <w:vAlign w:val="center"/>
          </w:tcPr>
          <w:p w14:paraId="38863F5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01DDA3BC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5C6874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C4008C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F9E9D2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2FFC49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925FCE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164AD5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6E59F67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0C51C8C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88FD94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18E421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959" w:type="dxa"/>
            <w:vAlign w:val="center"/>
          </w:tcPr>
          <w:p w14:paraId="498B58E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42291635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EDF02C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C79FE2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F17428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602FA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70FED4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90DD88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3338FEA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C8D077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963EA5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9221FD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D2B535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2483390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D45D4C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B00DB3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AE6AFA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EEDC8B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33960D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B4585B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7527238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98BDE4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5DAD54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73416E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45E574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05D0257D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6EEE83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64E613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47F4447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0F42A2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3202039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250A78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3B36B13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C38F5F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040CD4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10F569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4798AD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86E5BEA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1D3AE10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76D6F73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FD6217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4CEA61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6C60A8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68FD9C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3–4 month</w:t>
            </w:r>
          </w:p>
        </w:tc>
        <w:tc>
          <w:tcPr>
            <w:tcW w:w="993" w:type="dxa"/>
            <w:vAlign w:val="center"/>
          </w:tcPr>
          <w:p w14:paraId="47A197B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D46B9E0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D55912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6AE69A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C17CF0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7F97E17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3CC9236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0B6123E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8AA3E5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625592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1DA220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8595AB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4–5 month</w:t>
            </w:r>
          </w:p>
        </w:tc>
        <w:tc>
          <w:tcPr>
            <w:tcW w:w="993" w:type="dxa"/>
            <w:vAlign w:val="center"/>
          </w:tcPr>
          <w:p w14:paraId="06F9D9F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A2C1ED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9A801D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D5B3F8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0A07D7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7D8E656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96725F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528B7B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61BF34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9505C1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AEA60F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C95849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5–6 month</w:t>
            </w:r>
          </w:p>
        </w:tc>
        <w:tc>
          <w:tcPr>
            <w:tcW w:w="993" w:type="dxa"/>
            <w:vAlign w:val="center"/>
          </w:tcPr>
          <w:p w14:paraId="6F0C97E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512C6D3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066607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290C49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6D300F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6BFA2C87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7094C9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ACBB3B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3BA472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C495F2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5D3C11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7A3877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3–6 month</w:t>
            </w:r>
          </w:p>
        </w:tc>
        <w:tc>
          <w:tcPr>
            <w:tcW w:w="993" w:type="dxa"/>
            <w:vAlign w:val="center"/>
          </w:tcPr>
          <w:p w14:paraId="2790C09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77392AF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731EB7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1242F9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442A67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1EFF240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78B2CE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1468F7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AFB3B5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321959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A75634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46F74D0" w14:textId="1B734D3D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O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 xml:space="preserve"> 8</w:t>
            </w:r>
            <w:r w:rsidR="00256421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h max</w:t>
            </w:r>
          </w:p>
        </w:tc>
        <w:tc>
          <w:tcPr>
            <w:tcW w:w="4975" w:type="dxa"/>
            <w:gridSpan w:val="5"/>
            <w:vAlign w:val="center"/>
          </w:tcPr>
          <w:p w14:paraId="52E1225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18510416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D2D380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ACB0F8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B20781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7AC5C2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A5834C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4EDDD15" w14:textId="77777777" w:rsidR="00A058AA" w:rsidRDefault="00A058AA" w:rsidP="00E550B7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</w:tc>
        <w:tc>
          <w:tcPr>
            <w:tcW w:w="993" w:type="dxa"/>
            <w:vAlign w:val="center"/>
          </w:tcPr>
          <w:p w14:paraId="7447553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F9C9F4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6975C8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7C4A87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E80A54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6B9ECDB7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7716866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62FD38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3D3748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229601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8591DE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DDD6AA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52508D6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774DD6B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00327DE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C14B78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1D24B4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C331E30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646C70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44E914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528A8B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3DE20D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B9FC62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B80C5E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463496D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A8C90C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2D9BCD4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D1E2D1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9B4126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1E55038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019DB5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3AFFC85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1B636A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65B9E9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3DF5B8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AC7FB2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14FAD33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7585F34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2ED2756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AEFF55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2A5136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1CDFA8D2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543685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606659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E74FE9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958D14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F61A7D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07110D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1CA0D0B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074D66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7D52DF6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F522B8A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E5D505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37F007C" w14:textId="77777777" w:rsidTr="00360C0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B5C2EE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A7FE04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6CC02E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B97013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B17BEB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8FCD48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Post-conception</w:t>
            </w:r>
          </w:p>
        </w:tc>
        <w:tc>
          <w:tcPr>
            <w:tcW w:w="4975" w:type="dxa"/>
            <w:gridSpan w:val="5"/>
            <w:vAlign w:val="center"/>
          </w:tcPr>
          <w:p w14:paraId="46728C5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</w:tr>
      <w:tr w:rsidR="00A058AA" w14:paraId="752C8176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A4259D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E7D107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EEDF8D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A6FB50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A81C45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F55E09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0–1 month</w:t>
            </w:r>
          </w:p>
        </w:tc>
        <w:tc>
          <w:tcPr>
            <w:tcW w:w="993" w:type="dxa"/>
            <w:vAlign w:val="center"/>
          </w:tcPr>
          <w:p w14:paraId="2C9620C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673576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1ED6C6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C647EA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65C120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34DE9C1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476F93C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E85730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009B2B7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BE0209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0502EC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F207F3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1–2 month</w:t>
            </w:r>
          </w:p>
        </w:tc>
        <w:tc>
          <w:tcPr>
            <w:tcW w:w="993" w:type="dxa"/>
            <w:vAlign w:val="center"/>
          </w:tcPr>
          <w:p w14:paraId="7CBDF7E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1EDD958B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5BEC9F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355F13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3140D4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2245277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F0D7B3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133CA84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190F6CBB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FCAEE5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7275AF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BD9DF98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2–3 month</w:t>
            </w:r>
          </w:p>
        </w:tc>
        <w:tc>
          <w:tcPr>
            <w:tcW w:w="993" w:type="dxa"/>
            <w:vAlign w:val="center"/>
          </w:tcPr>
          <w:p w14:paraId="60639B9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6854D3B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94BB202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7F8C0F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D10373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7AE5EE05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67C6C5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E54CF3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269D949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65A667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551A5FAA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D4D49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0–3 month</w:t>
            </w:r>
          </w:p>
        </w:tc>
        <w:tc>
          <w:tcPr>
            <w:tcW w:w="993" w:type="dxa"/>
            <w:vAlign w:val="center"/>
          </w:tcPr>
          <w:p w14:paraId="52EBE0BF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3E19D50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00E5EF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25EC38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8803E6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295623AF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1E92D6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497F9E5C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FEB166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8C62A6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554AC5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C64956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3–4 month</w:t>
            </w:r>
          </w:p>
        </w:tc>
        <w:tc>
          <w:tcPr>
            <w:tcW w:w="993" w:type="dxa"/>
            <w:vAlign w:val="center"/>
          </w:tcPr>
          <w:p w14:paraId="79C40CF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713278A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14:paraId="384BBAE5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C4DB26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5BC17FF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41C49EAC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68A3AFF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AA263D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72DCB8B2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8A6681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2F43C0E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EB0CF0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4–5 month</w:t>
            </w:r>
          </w:p>
        </w:tc>
        <w:tc>
          <w:tcPr>
            <w:tcW w:w="993" w:type="dxa"/>
            <w:vAlign w:val="center"/>
          </w:tcPr>
          <w:p w14:paraId="50035FF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C855C73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33879D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8A66984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32AF34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50CDCDB0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2F081430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63FB37E6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379C50D1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2D528BD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68880B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DBF1D8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5–6 month</w:t>
            </w:r>
          </w:p>
        </w:tc>
        <w:tc>
          <w:tcPr>
            <w:tcW w:w="993" w:type="dxa"/>
            <w:vAlign w:val="center"/>
          </w:tcPr>
          <w:p w14:paraId="27DD09E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65D2BE5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0DDB386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43D0F4C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5809481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  <w:tr w:rsidR="00A058AA" w14:paraId="3544093F" w14:textId="77777777" w:rsidTr="00782658">
        <w:trPr>
          <w:trHeight w:val="20"/>
          <w:jc w:val="center"/>
        </w:trPr>
        <w:tc>
          <w:tcPr>
            <w:tcW w:w="2364" w:type="dxa"/>
            <w:vMerge/>
            <w:vAlign w:val="center"/>
          </w:tcPr>
          <w:p w14:paraId="0258B4F4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4" w:type="dxa"/>
            <w:vMerge/>
            <w:vAlign w:val="center"/>
          </w:tcPr>
          <w:p w14:paraId="2022AA37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14:paraId="6CE8D4F3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B3E5E5F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62B73229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90C2BF5" w14:textId="77777777" w:rsidR="00A058AA" w:rsidRDefault="00A058AA" w:rsidP="00E550B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3–6 month</w:t>
            </w:r>
          </w:p>
        </w:tc>
        <w:tc>
          <w:tcPr>
            <w:tcW w:w="993" w:type="dxa"/>
            <w:vAlign w:val="center"/>
          </w:tcPr>
          <w:p w14:paraId="52FF2068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  <w:tc>
          <w:tcPr>
            <w:tcW w:w="1038" w:type="dxa"/>
            <w:vAlign w:val="center"/>
          </w:tcPr>
          <w:p w14:paraId="208B1DC9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4025FFE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A29610D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07CF807" w14:textId="77777777" w:rsidR="00A058AA" w:rsidRDefault="00A058AA" w:rsidP="00E550B7">
            <w:pPr>
              <w:jc w:val="center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Sun" w:eastAsia="SimSun" w:hAnsi="SimSun" w:cs="Times New Roman" w:hint="eastAsia"/>
                <w:szCs w:val="21"/>
              </w:rPr>
              <w:t>√</w:t>
            </w:r>
          </w:p>
        </w:tc>
      </w:tr>
    </w:tbl>
    <w:p w14:paraId="55D7DE52" w14:textId="2304A412" w:rsidR="00DB5807" w:rsidRDefault="00DB5807" w:rsidP="00DB5807">
      <w:pPr>
        <w:rPr>
          <w:rFonts w:ascii="Times New Roman" w:eastAsia="SimSun" w:hAnsi="Times New Roman" w:cs="Times New Roman"/>
          <w:bCs/>
          <w:szCs w:val="21"/>
        </w:rPr>
      </w:pPr>
      <w:r>
        <w:rPr>
          <w:rStyle w:val="CommentReference"/>
          <w:rFonts w:ascii="Times New Roman" w:hAnsi="Times New Roman" w:cs="Times New Roman"/>
        </w:rPr>
        <w:t xml:space="preserve">Abbreviations: CO, </w:t>
      </w:r>
      <w:r>
        <w:rPr>
          <w:rFonts w:ascii="Times New Roman" w:hAnsi="Times New Roman" w:cs="Times New Roman"/>
          <w:szCs w:val="21"/>
        </w:rPr>
        <w:t>carbon monoxide;</w:t>
      </w:r>
      <w:r>
        <w:rPr>
          <w:rStyle w:val="CommentReference"/>
          <w:rFonts w:ascii="Times New Roman" w:hAnsi="Times New Roman" w:cs="Times New Roman"/>
        </w:rPr>
        <w:t xml:space="preserve"> </w:t>
      </w:r>
      <w:r>
        <w:rPr>
          <w:rFonts w:ascii="Times New Roman" w:eastAsia="SimSun" w:hAnsi="Times New Roman" w:cs="Times New Roman" w:hint="eastAsia"/>
          <w:bCs/>
          <w:szCs w:val="21"/>
        </w:rPr>
        <w:t xml:space="preserve">IQR, interquartile range; </w:t>
      </w:r>
      <w:r w:rsidR="00E12686">
        <w:rPr>
          <w:rFonts w:ascii="Times New Roman" w:eastAsia="SimSun" w:hAnsi="Times New Roman" w:cs="Times New Roman"/>
          <w:bCs/>
          <w:szCs w:val="21"/>
        </w:rPr>
        <w:t>MWI,</w:t>
      </w:r>
      <w:r w:rsidR="00E12686">
        <w:rPr>
          <w:rFonts w:ascii="Times New Roman" w:eastAsia="SimSun" w:hAnsi="Times New Roman" w:cs="Times New Roman" w:hint="eastAsia"/>
          <w:bCs/>
          <w:szCs w:val="21"/>
        </w:rPr>
        <w:t xml:space="preserve"> </w:t>
      </w:r>
      <w:r w:rsidR="00E12686">
        <w:rPr>
          <w:rFonts w:ascii="Times New Roman" w:eastAsia="SimSun" w:hAnsi="Times New Roman" w:cs="Times New Roman"/>
          <w:bCs/>
          <w:szCs w:val="21"/>
        </w:rPr>
        <w:t>municipal waste incinerators</w:t>
      </w:r>
      <w:r w:rsidR="00E12686">
        <w:rPr>
          <w:rStyle w:val="CommentReference"/>
          <w:rFonts w:ascii="Times New Roman" w:hAnsi="Times New Roman" w:cs="Times New Roman"/>
        </w:rPr>
        <w:t xml:space="preserve">; </w:t>
      </w:r>
      <w:r>
        <w:rPr>
          <w:rStyle w:val="CommentReference"/>
          <w:rFonts w:ascii="Times New Roman" w:hAnsi="Times New Roman" w:cs="Times New Roman"/>
        </w:rPr>
        <w:t>N/A, not available</w:t>
      </w:r>
      <w:r w:rsidR="000C5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ommentReference"/>
          <w:rFonts w:ascii="Times New Roman" w:hAnsi="Times New Roman" w:cs="Times New Roman"/>
        </w:rPr>
        <w:t>NO, nitric oxide; NO</w:t>
      </w:r>
      <w:r>
        <w:rPr>
          <w:rStyle w:val="CommentReference"/>
          <w:rFonts w:ascii="Times New Roman" w:hAnsi="Times New Roman" w:cs="Times New Roman"/>
          <w:vertAlign w:val="subscript"/>
        </w:rPr>
        <w:t>2</w:t>
      </w:r>
      <w:r>
        <w:rPr>
          <w:rStyle w:val="CommentReference"/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Cs w:val="21"/>
        </w:rPr>
        <w:t>nitrogen oxide;</w:t>
      </w:r>
      <w:r>
        <w:rPr>
          <w:rStyle w:val="CommentReference"/>
          <w:rFonts w:ascii="Times New Roman" w:hAnsi="Times New Roman" w:cs="Times New Roman"/>
        </w:rPr>
        <w:t xml:space="preserve"> NO</w:t>
      </w:r>
      <w:r>
        <w:rPr>
          <w:rStyle w:val="CommentReference"/>
          <w:rFonts w:ascii="Times New Roman" w:hAnsi="Times New Roman" w:cs="Times New Roman"/>
          <w:vertAlign w:val="subscript"/>
        </w:rPr>
        <w:t>X</w:t>
      </w:r>
      <w:r>
        <w:rPr>
          <w:rStyle w:val="CommentReference"/>
          <w:rFonts w:ascii="Times New Roman" w:hAnsi="Times New Roman" w:cs="Times New Roman" w:hint="eastAsia"/>
        </w:rPr>
        <w:t>,</w:t>
      </w:r>
      <w:r>
        <w:rPr>
          <w:rStyle w:val="CommentReference"/>
          <w:rFonts w:ascii="Times New Roman" w:hAnsi="Times New Roman" w:cs="Times New Roman"/>
        </w:rPr>
        <w:t xml:space="preserve"> </w:t>
      </w:r>
      <w:r>
        <w:rPr>
          <w:rStyle w:val="CommentReference"/>
          <w:rFonts w:ascii="Times New Roman" w:hAnsi="Times New Roman" w:cs="Times New Roman" w:hint="eastAsia"/>
        </w:rPr>
        <w:t>n</w:t>
      </w:r>
      <w:r>
        <w:rPr>
          <w:rStyle w:val="CommentReference"/>
          <w:rFonts w:ascii="Times New Roman" w:hAnsi="Times New Roman" w:cs="Times New Roman"/>
        </w:rPr>
        <w:t>itrogen oxides</w:t>
      </w:r>
      <w:r>
        <w:rPr>
          <w:rStyle w:val="CommentReference"/>
          <w:rFonts w:ascii="Times New Roman" w:hAnsi="Times New Roman" w:cs="Times New Roman" w:hint="eastAsia"/>
        </w:rPr>
        <w:t xml:space="preserve">; </w:t>
      </w:r>
      <w:r>
        <w:rPr>
          <w:rStyle w:val="CommentReference"/>
          <w:rFonts w:ascii="Times New Roman" w:hAnsi="Times New Roman" w:cs="Times New Roman"/>
        </w:rPr>
        <w:t>O</w:t>
      </w:r>
      <w:r>
        <w:rPr>
          <w:rStyle w:val="CommentReference"/>
          <w:rFonts w:ascii="Times New Roman" w:hAnsi="Times New Roman" w:cs="Times New Roman"/>
          <w:vertAlign w:val="subscript"/>
        </w:rPr>
        <w:t>3</w:t>
      </w:r>
      <w:r>
        <w:rPr>
          <w:rStyle w:val="CommentReference"/>
          <w:rFonts w:ascii="Times New Roman" w:hAnsi="Times New Roman" w:cs="Times New Roman"/>
        </w:rPr>
        <w:t>,</w:t>
      </w:r>
      <w:r>
        <w:rPr>
          <w:rStyle w:val="CommentReference"/>
          <w:rFonts w:ascii="Times New Roman" w:hAnsi="Times New Roman" w:cs="Times New Roman" w:hint="eastAsia"/>
        </w:rPr>
        <w:t xml:space="preserve"> ozone; </w:t>
      </w:r>
      <w:r w:rsidR="00267554">
        <w:rPr>
          <w:rFonts w:ascii="Times New Roman" w:eastAsia="SimSun" w:hAnsi="Times New Roman" w:cs="Times New Roman"/>
          <w:bCs/>
          <w:szCs w:val="21"/>
        </w:rPr>
        <w:t xml:space="preserve">PM </w:t>
      </w:r>
      <w:r w:rsidR="00267554">
        <w:rPr>
          <w:rFonts w:ascii="Times New Roman" w:eastAsia="SimSun" w:hAnsi="Times New Roman" w:cs="Times New Roman"/>
          <w:bCs/>
          <w:szCs w:val="21"/>
          <w:vertAlign w:val="subscript"/>
        </w:rPr>
        <w:t>coarse</w:t>
      </w:r>
      <w:r w:rsidR="00267554">
        <w:rPr>
          <w:rFonts w:ascii="Times New Roman" w:eastAsia="SimSun" w:hAnsi="Times New Roman" w:cs="Times New Roman"/>
          <w:bCs/>
          <w:szCs w:val="21"/>
        </w:rPr>
        <w:t xml:space="preserve">, </w:t>
      </w:r>
      <w:r w:rsidR="00267554">
        <w:rPr>
          <w:rFonts w:ascii="Times New Roman" w:hAnsi="Times New Roman" w:cs="Times New Roman"/>
          <w:szCs w:val="21"/>
        </w:rPr>
        <w:t>particulate matter</w:t>
      </w:r>
      <w:r w:rsidR="00267554">
        <w:rPr>
          <w:rFonts w:ascii="Times New Roman" w:hAnsi="Times New Roman" w:cs="Times New Roman" w:hint="eastAsia"/>
          <w:szCs w:val="21"/>
        </w:rPr>
        <w:t xml:space="preserve"> </w:t>
      </w:r>
      <w:r w:rsidR="00267554">
        <w:rPr>
          <w:rFonts w:ascii="Times New Roman" w:eastAsia="SimSun" w:hAnsi="Times New Roman" w:cs="Times New Roman"/>
          <w:bCs/>
          <w:szCs w:val="21"/>
        </w:rPr>
        <w:t>coarse</w:t>
      </w:r>
      <w:r w:rsidR="00267554">
        <w:rPr>
          <w:rFonts w:ascii="Times New Roman" w:eastAsia="SimSun" w:hAnsi="Times New Roman" w:cs="Times New Roman" w:hint="eastAsia"/>
          <w:bCs/>
          <w:szCs w:val="21"/>
        </w:rPr>
        <w:t>;</w:t>
      </w:r>
      <w:r w:rsidR="00267554">
        <w:rPr>
          <w:rFonts w:ascii="Times New Roman" w:eastAsia="SimSun" w:hAnsi="Times New Roman" w:cs="Times New Roman"/>
          <w:bCs/>
          <w:szCs w:val="21"/>
        </w:rPr>
        <w:t xml:space="preserve"> </w:t>
      </w:r>
      <w:r>
        <w:rPr>
          <w:rStyle w:val="CommentReference"/>
          <w:rFonts w:ascii="Times New Roman" w:hAnsi="Times New Roman" w:cs="Times New Roman"/>
        </w:rPr>
        <w:t>PM</w:t>
      </w:r>
      <w:r>
        <w:rPr>
          <w:rStyle w:val="CommentReference"/>
          <w:rFonts w:ascii="Times New Roman" w:hAnsi="Times New Roman" w:cs="Times New Roman"/>
          <w:vertAlign w:val="subscript"/>
        </w:rPr>
        <w:t>10</w:t>
      </w:r>
      <w:r>
        <w:rPr>
          <w:rStyle w:val="CommentReference"/>
          <w:rFonts w:ascii="Times New Roman" w:hAnsi="Times New Roman" w:cs="Times New Roman"/>
        </w:rPr>
        <w:t xml:space="preserve">, </w:t>
      </w:r>
      <w:r>
        <w:rPr>
          <w:rStyle w:val="CommentReference"/>
          <w:rFonts w:ascii="Times New Roman" w:hAnsi="Times New Roman" w:cs="Times New Roman" w:hint="eastAsia"/>
        </w:rPr>
        <w:t xml:space="preserve">particulate matter with aerodynamic diameter </w:t>
      </w:r>
      <w:r>
        <w:rPr>
          <w:rStyle w:val="CommentReference"/>
          <w:rFonts w:ascii="Times New Roman" w:hAnsi="Times New Roman" w:cs="Times New Roman"/>
        </w:rPr>
        <w:t>≤</w:t>
      </w:r>
      <w:r>
        <w:rPr>
          <w:rStyle w:val="CommentReference"/>
          <w:rFonts w:ascii="Times New Roman" w:hAnsi="Times New Roman" w:cs="Times New Roman" w:hint="eastAsia"/>
        </w:rPr>
        <w:t xml:space="preserve">10 </w:t>
      </w:r>
      <w:r>
        <w:rPr>
          <w:rStyle w:val="CommentReference"/>
          <w:rFonts w:ascii="Times New Roman" w:hAnsi="Times New Roman" w:cs="Times New Roman"/>
        </w:rPr>
        <w:t>μm</w:t>
      </w:r>
      <w:r>
        <w:rPr>
          <w:rFonts w:ascii="Times New Roman" w:hAnsi="Times New Roman" w:cs="Times New Roman"/>
          <w:szCs w:val="21"/>
        </w:rPr>
        <w:t>;</w:t>
      </w:r>
      <w:r>
        <w:rPr>
          <w:rStyle w:val="CommentReference"/>
          <w:rFonts w:ascii="Times New Roman" w:hAnsi="Times New Roman" w:cs="Times New Roman"/>
        </w:rPr>
        <w:t xml:space="preserve"> </w:t>
      </w:r>
      <w:r w:rsidR="00267554">
        <w:rPr>
          <w:rFonts w:ascii="Times New Roman" w:eastAsia="SimSun" w:hAnsi="Times New Roman" w:cs="Times New Roman"/>
          <w:szCs w:val="21"/>
        </w:rPr>
        <w:t>PM</w:t>
      </w:r>
      <w:r w:rsidR="00267554" w:rsidRPr="00087260">
        <w:rPr>
          <w:rFonts w:ascii="Times New Roman" w:eastAsia="SimSun" w:hAnsi="Times New Roman" w:cs="Times New Roman"/>
          <w:szCs w:val="21"/>
          <w:vertAlign w:val="subscript"/>
        </w:rPr>
        <w:t>10-2.5</w:t>
      </w:r>
      <w:r w:rsidR="00267554">
        <w:rPr>
          <w:rStyle w:val="CommentReference"/>
          <w:rFonts w:ascii="Times New Roman" w:hAnsi="Times New Roman" w:cs="Times New Roman"/>
        </w:rPr>
        <w:t>,</w:t>
      </w:r>
      <w:r w:rsidR="00267554">
        <w:rPr>
          <w:rStyle w:val="CommentReference"/>
          <w:rFonts w:ascii="Times New Roman" w:hAnsi="Times New Roman" w:cs="Times New Roman" w:hint="eastAsia"/>
        </w:rPr>
        <w:t xml:space="preserve"> </w:t>
      </w:r>
      <w:r w:rsidR="00267554" w:rsidRPr="00217159">
        <w:rPr>
          <w:rFonts w:ascii="Times New Roman" w:hAnsi="Times New Roman" w:cs="Times New Roman"/>
          <w:szCs w:val="21"/>
        </w:rPr>
        <w:t>the coarse fraction of particulate matter</w:t>
      </w:r>
      <w:r w:rsidR="00267554">
        <w:rPr>
          <w:rFonts w:ascii="Times New Roman" w:hAnsi="Times New Roman" w:cs="Times New Roman"/>
          <w:szCs w:val="21"/>
        </w:rPr>
        <w:t xml:space="preserve">; </w:t>
      </w:r>
      <w:r>
        <w:rPr>
          <w:rStyle w:val="CommentReference"/>
          <w:rFonts w:ascii="Times New Roman" w:hAnsi="Times New Roman" w:cs="Times New Roman"/>
        </w:rPr>
        <w:t>PM</w:t>
      </w:r>
      <w:r>
        <w:rPr>
          <w:rStyle w:val="CommentReference"/>
          <w:rFonts w:ascii="Times New Roman" w:hAnsi="Times New Roman" w:cs="Times New Roman"/>
          <w:vertAlign w:val="subscript"/>
        </w:rPr>
        <w:t>2.5</w:t>
      </w:r>
      <w:r>
        <w:rPr>
          <w:rStyle w:val="CommentReference"/>
          <w:rFonts w:ascii="Times New Roman" w:hAnsi="Times New Roman" w:cs="Times New Roman"/>
        </w:rPr>
        <w:t>,</w:t>
      </w:r>
      <w:r>
        <w:rPr>
          <w:rStyle w:val="CommentReference"/>
          <w:rFonts w:ascii="Times New Roman" w:hAnsi="Times New Roman" w:cs="Times New Roman" w:hint="eastAsia"/>
        </w:rPr>
        <w:t xml:space="preserve"> particulate matter with aerodynamic diameter </w:t>
      </w:r>
      <w:r>
        <w:rPr>
          <w:rStyle w:val="CommentReference"/>
          <w:rFonts w:ascii="Times New Roman" w:hAnsi="Times New Roman" w:cs="Times New Roman"/>
        </w:rPr>
        <w:t>≤</w:t>
      </w:r>
      <w:r>
        <w:rPr>
          <w:rStyle w:val="CommentReference"/>
          <w:rFonts w:ascii="Times New Roman" w:hAnsi="Times New Roman" w:cs="Times New Roman" w:hint="eastAsia"/>
        </w:rPr>
        <w:t xml:space="preserve"> 2.5 </w:t>
      </w:r>
      <w:r>
        <w:rPr>
          <w:rStyle w:val="CommentReference"/>
          <w:rFonts w:ascii="Times New Roman" w:hAnsi="Times New Roman" w:cs="Times New Roman"/>
        </w:rPr>
        <w:t>μm</w:t>
      </w:r>
      <w:r>
        <w:rPr>
          <w:rFonts w:ascii="Times New Roman" w:hAnsi="Times New Roman" w:cs="Times New Roman"/>
          <w:szCs w:val="21"/>
        </w:rPr>
        <w:t>;</w:t>
      </w:r>
      <w:r>
        <w:rPr>
          <w:rStyle w:val="CommentReference"/>
          <w:rFonts w:ascii="Times New Roman" w:hAnsi="Times New Roman" w:cs="Times New Roman"/>
        </w:rPr>
        <w:t xml:space="preserve"> </w:t>
      </w:r>
      <w:r w:rsidR="00267554">
        <w:rPr>
          <w:rFonts w:ascii="Times New Roman" w:eastAsia="SimSun" w:hAnsi="Times New Roman" w:cs="Times New Roman"/>
          <w:bCs/>
          <w:szCs w:val="21"/>
        </w:rPr>
        <w:t>PM</w:t>
      </w:r>
      <w:r w:rsidR="00267554">
        <w:rPr>
          <w:rFonts w:ascii="Times New Roman" w:eastAsia="SimSun" w:hAnsi="Times New Roman" w:cs="Times New Roman"/>
          <w:bCs/>
          <w:szCs w:val="21"/>
          <w:vertAlign w:val="subscript"/>
        </w:rPr>
        <w:t>2.5 absorbance</w:t>
      </w:r>
      <w:r w:rsidR="00267554">
        <w:rPr>
          <w:rFonts w:ascii="Times New Roman" w:eastAsia="SimSun" w:hAnsi="Times New Roman" w:cs="Times New Roman" w:hint="eastAsia"/>
          <w:bCs/>
          <w:szCs w:val="21"/>
        </w:rPr>
        <w:t xml:space="preserve">, </w:t>
      </w:r>
      <w:r w:rsidR="00267554">
        <w:rPr>
          <w:rStyle w:val="CommentReference"/>
          <w:rFonts w:ascii="Times New Roman" w:hAnsi="Times New Roman" w:cs="Times New Roman" w:hint="eastAsia"/>
        </w:rPr>
        <w:t xml:space="preserve">particulate matter with aerodynamic diameter </w:t>
      </w:r>
      <w:r w:rsidR="00267554">
        <w:rPr>
          <w:rStyle w:val="CommentReference"/>
          <w:rFonts w:ascii="Times New Roman" w:hAnsi="Times New Roman" w:cs="Times New Roman"/>
        </w:rPr>
        <w:t>≤</w:t>
      </w:r>
      <w:r w:rsidR="00267554">
        <w:rPr>
          <w:rStyle w:val="CommentReference"/>
          <w:rFonts w:ascii="Times New Roman" w:hAnsi="Times New Roman" w:cs="Times New Roman" w:hint="eastAsia"/>
        </w:rPr>
        <w:t xml:space="preserve"> 2.5 </w:t>
      </w:r>
      <w:r w:rsidR="00267554">
        <w:rPr>
          <w:rStyle w:val="CommentReference"/>
          <w:rFonts w:ascii="Times New Roman" w:hAnsi="Times New Roman" w:cs="Times New Roman"/>
        </w:rPr>
        <w:t>μm</w:t>
      </w:r>
      <w:r w:rsidR="00267554">
        <w:rPr>
          <w:rFonts w:ascii="Times New Roman" w:hAnsi="Times New Roman" w:cs="Times New Roman" w:hint="eastAsia"/>
          <w:szCs w:val="21"/>
        </w:rPr>
        <w:t xml:space="preserve"> </w:t>
      </w:r>
      <w:r w:rsidR="00267554">
        <w:rPr>
          <w:rFonts w:ascii="Times New Roman" w:eastAsia="SimSun" w:hAnsi="Times New Roman" w:cs="Times New Roman"/>
          <w:bCs/>
          <w:szCs w:val="21"/>
        </w:rPr>
        <w:t>absorbance</w:t>
      </w:r>
      <w:r w:rsidR="00267554">
        <w:rPr>
          <w:rFonts w:ascii="Times New Roman" w:eastAsia="SimSun" w:hAnsi="Times New Roman" w:cs="Times New Roman" w:hint="eastAsia"/>
          <w:bCs/>
          <w:szCs w:val="21"/>
        </w:rPr>
        <w:t>;</w:t>
      </w:r>
      <w:r w:rsidR="00267554">
        <w:rPr>
          <w:rFonts w:ascii="Times New Roman" w:eastAsia="SimSun" w:hAnsi="Times New Roman" w:cs="Times New Roman"/>
          <w:bCs/>
          <w:szCs w:val="21"/>
        </w:rPr>
        <w:t xml:space="preserve"> </w:t>
      </w:r>
      <w:r>
        <w:rPr>
          <w:rStyle w:val="CommentReference"/>
          <w:rFonts w:ascii="Times New Roman" w:hAnsi="Times New Roman" w:cs="Times New Roman"/>
        </w:rPr>
        <w:t>PM</w:t>
      </w:r>
      <w:r>
        <w:rPr>
          <w:rStyle w:val="CommentReference"/>
          <w:rFonts w:ascii="Times New Roman" w:hAnsi="Times New Roman" w:cs="Times New Roman"/>
          <w:vertAlign w:val="subscript"/>
        </w:rPr>
        <w:t>2.5-10</w:t>
      </w:r>
      <w:r>
        <w:rPr>
          <w:rStyle w:val="CommentReference"/>
          <w:rFonts w:ascii="Times New Roman" w:hAnsi="Times New Roman" w:cs="Times New Roman"/>
        </w:rPr>
        <w:t>,</w:t>
      </w:r>
      <w:r>
        <w:rPr>
          <w:rStyle w:val="CommentReference"/>
          <w:rFonts w:ascii="Times New Roman" w:hAnsi="Times New Roman" w:cs="Times New Roman" w:hint="eastAsia"/>
        </w:rPr>
        <w:t xml:space="preserve"> particulate matter with aerodynamic diameter 2.5-10 </w:t>
      </w:r>
      <w:r>
        <w:rPr>
          <w:rStyle w:val="CommentReference"/>
          <w:rFonts w:ascii="Times New Roman" w:hAnsi="Times New Roman" w:cs="Times New Roman"/>
        </w:rPr>
        <w:t>μm</w:t>
      </w:r>
      <w:r>
        <w:rPr>
          <w:rFonts w:ascii="Times New Roman" w:eastAsia="SimSun" w:hAnsi="Times New Roman" w:cs="Times New Roman" w:hint="eastAsia"/>
          <w:bCs/>
          <w:szCs w:val="21"/>
        </w:rPr>
        <w:t xml:space="preserve">. </w:t>
      </w:r>
    </w:p>
    <w:p w14:paraId="0E239486" w14:textId="77777777" w:rsidR="00A058AA" w:rsidRPr="00267554" w:rsidRDefault="00A058AA" w:rsidP="00A058AA">
      <w:pPr>
        <w:widowControl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6059BF8" w14:textId="77777777" w:rsidR="00AF2C03" w:rsidRPr="00DF0B0C" w:rsidRDefault="00AF2C03"/>
    <w:sectPr w:rsidR="00AF2C03" w:rsidRPr="00DF0B0C" w:rsidSect="00A058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80C27" w14:textId="77777777" w:rsidR="00507463" w:rsidRDefault="00507463" w:rsidP="00342981">
      <w:r>
        <w:separator/>
      </w:r>
    </w:p>
  </w:endnote>
  <w:endnote w:type="continuationSeparator" w:id="0">
    <w:p w14:paraId="11198779" w14:textId="77777777" w:rsidR="00507463" w:rsidRDefault="00507463" w:rsidP="0034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 New Roman"/>
    <w:charset w:val="00"/>
    <w:family w:val="roman"/>
    <w:pitch w:val="default"/>
  </w:font>
  <w:font w:name="DengXian-Bold">
    <w:panose1 w:val="00000000000000000000"/>
    <w:charset w:val="00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2EB39" w14:textId="77777777" w:rsidR="00507463" w:rsidRDefault="00507463" w:rsidP="00342981">
      <w:r>
        <w:separator/>
      </w:r>
    </w:p>
  </w:footnote>
  <w:footnote w:type="continuationSeparator" w:id="0">
    <w:p w14:paraId="243D8FE0" w14:textId="77777777" w:rsidR="00507463" w:rsidRDefault="00507463" w:rsidP="0034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6DAE6B"/>
    <w:multiLevelType w:val="singleLevel"/>
    <w:tmpl w:val="C46DAE6B"/>
    <w:lvl w:ilvl="0">
      <w:start w:val="4"/>
      <w:numFmt w:val="decimal"/>
      <w:suff w:val="nothing"/>
      <w:lvlText w:val="%1-"/>
      <w:lvlJc w:val="left"/>
    </w:lvl>
  </w:abstractNum>
  <w:abstractNum w:abstractNumId="1">
    <w:nsid w:val="0C612358"/>
    <w:multiLevelType w:val="multilevel"/>
    <w:tmpl w:val="0C612358"/>
    <w:lvl w:ilvl="0">
      <w:start w:val="1"/>
      <w:numFmt w:val="bullet"/>
      <w:suff w:val="space"/>
      <w:lvlText w:val=""/>
      <w:lvlJc w:val="left"/>
      <w:pPr>
        <w:ind w:left="525" w:hanging="468"/>
      </w:pPr>
      <w:rPr>
        <w:rFonts w:ascii="Wingdings" w:hAnsi="Wingdings" w:hint="default"/>
        <w:spacing w:val="0"/>
        <w:sz w:val="13"/>
        <w:szCs w:val="13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>
    <w:nsid w:val="33A27E79"/>
    <w:multiLevelType w:val="multilevel"/>
    <w:tmpl w:val="33A27E79"/>
    <w:lvl w:ilvl="0">
      <w:start w:val="1"/>
      <w:numFmt w:val="bullet"/>
      <w:lvlText w:val=""/>
      <w:lvlJc w:val="left"/>
      <w:pPr>
        <w:ind w:left="704" w:hanging="137"/>
      </w:pPr>
      <w:rPr>
        <w:rFonts w:ascii="Wingdings" w:hAnsi="Wingdings" w:hint="default"/>
        <w:spacing w:val="0"/>
        <w:sz w:val="13"/>
        <w:szCs w:val="13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>
    <w:nsid w:val="68D61EE5"/>
    <w:multiLevelType w:val="hybridMultilevel"/>
    <w:tmpl w:val="D5DE61A6"/>
    <w:lvl w:ilvl="0" w:tplc="4F68D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1101F8"/>
    <w:multiLevelType w:val="multilevel"/>
    <w:tmpl w:val="6D1101F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AA"/>
    <w:rsid w:val="000C5275"/>
    <w:rsid w:val="00256421"/>
    <w:rsid w:val="00267554"/>
    <w:rsid w:val="00342981"/>
    <w:rsid w:val="00360C08"/>
    <w:rsid w:val="003A18A8"/>
    <w:rsid w:val="00411BA5"/>
    <w:rsid w:val="004157C6"/>
    <w:rsid w:val="004D7997"/>
    <w:rsid w:val="005069CB"/>
    <w:rsid w:val="00507463"/>
    <w:rsid w:val="00743C07"/>
    <w:rsid w:val="0075567E"/>
    <w:rsid w:val="00770EAC"/>
    <w:rsid w:val="00782658"/>
    <w:rsid w:val="007D2A2F"/>
    <w:rsid w:val="007F024A"/>
    <w:rsid w:val="008A3B43"/>
    <w:rsid w:val="008F6100"/>
    <w:rsid w:val="009629E9"/>
    <w:rsid w:val="0098487B"/>
    <w:rsid w:val="00A0089D"/>
    <w:rsid w:val="00A058AA"/>
    <w:rsid w:val="00A41CC0"/>
    <w:rsid w:val="00AF2C03"/>
    <w:rsid w:val="00B73D60"/>
    <w:rsid w:val="00C17AF5"/>
    <w:rsid w:val="00D2447B"/>
    <w:rsid w:val="00D36042"/>
    <w:rsid w:val="00DB3493"/>
    <w:rsid w:val="00DB5807"/>
    <w:rsid w:val="00DF0B0C"/>
    <w:rsid w:val="00E12686"/>
    <w:rsid w:val="00E550B7"/>
    <w:rsid w:val="00ED15FC"/>
    <w:rsid w:val="00F05159"/>
    <w:rsid w:val="00FB547D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6221B9"/>
  <w15:chartTrackingRefBased/>
  <w15:docId w15:val="{A489EFDD-EA7F-4644-93BB-E16B7A1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8A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58AA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058AA"/>
    <w:rPr>
      <w:rFonts w:ascii="SimSun" w:eastAsia="SimSun" w:hAnsi="SimSun" w:cs="SimSun"/>
      <w:b/>
      <w:bCs/>
      <w:kern w:val="3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058A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058AA"/>
  </w:style>
  <w:style w:type="paragraph" w:styleId="BalloonText">
    <w:name w:val="Balloon Text"/>
    <w:basedOn w:val="Normal"/>
    <w:link w:val="BalloonTextChar"/>
    <w:uiPriority w:val="99"/>
    <w:unhideWhenUsed/>
    <w:qFormat/>
    <w:rsid w:val="00A058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058AA"/>
    <w:rPr>
      <w:sz w:val="18"/>
      <w:szCs w:val="18"/>
    </w:rPr>
  </w:style>
  <w:style w:type="paragraph" w:styleId="Footer">
    <w:name w:val="footer"/>
    <w:basedOn w:val="Normal"/>
    <w:link w:val="FooterChar"/>
    <w:unhideWhenUsed/>
    <w:qFormat/>
    <w:rsid w:val="00A05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A058AA"/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rsid w:val="00A0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A058AA"/>
    <w:rPr>
      <w:sz w:val="18"/>
      <w:szCs w:val="18"/>
    </w:rPr>
  </w:style>
  <w:style w:type="paragraph" w:styleId="NormalWeb">
    <w:name w:val="Normal (Web)"/>
    <w:basedOn w:val="Normal"/>
    <w:qFormat/>
    <w:rsid w:val="00A058AA"/>
    <w:pPr>
      <w:spacing w:before="100" w:beforeAutospacing="1" w:after="100" w:afterAutospacing="1"/>
      <w:jc w:val="left"/>
    </w:pPr>
    <w:rPr>
      <w:rFonts w:ascii="Calibri" w:eastAsia="SimSun" w:hAnsi="Calibri" w:cs="Times New Roma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A05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A058AA"/>
    <w:rPr>
      <w:b/>
      <w:bCs/>
    </w:rPr>
  </w:style>
  <w:style w:type="table" w:styleId="TableGrid">
    <w:name w:val="Table Grid"/>
    <w:basedOn w:val="TableNormal"/>
    <w:uiPriority w:val="39"/>
    <w:qFormat/>
    <w:rsid w:val="00A058AA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058A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058AA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A05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058AA"/>
    <w:rPr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0"/>
    <w:qFormat/>
    <w:rsid w:val="00A058AA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A058AA"/>
    <w:rPr>
      <w:rFonts w:ascii="等线" w:eastAsia="等线" w:hAnsi="等线"/>
      <w:sz w:val="20"/>
    </w:rPr>
  </w:style>
  <w:style w:type="paragraph" w:customStyle="1" w:styleId="EndNoteBibliography">
    <w:name w:val="EndNote Bibliography"/>
    <w:basedOn w:val="Normal"/>
    <w:link w:val="EndNoteBibliography0"/>
    <w:qFormat/>
    <w:rsid w:val="00A058AA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A058AA"/>
    <w:rPr>
      <w:rFonts w:ascii="等线" w:eastAsia="等线" w:hAnsi="等线"/>
      <w:sz w:val="20"/>
    </w:rPr>
  </w:style>
  <w:style w:type="character" w:customStyle="1" w:styleId="skip">
    <w:name w:val="skip"/>
    <w:basedOn w:val="DefaultParagraphFont"/>
    <w:qFormat/>
    <w:rsid w:val="00A058AA"/>
  </w:style>
  <w:style w:type="character" w:customStyle="1" w:styleId="apple-converted-space">
    <w:name w:val="apple-converted-space"/>
    <w:basedOn w:val="DefaultParagraphFont"/>
    <w:qFormat/>
    <w:rsid w:val="00A058AA"/>
  </w:style>
  <w:style w:type="character" w:customStyle="1" w:styleId="1">
    <w:name w:val="未处理的提及1"/>
    <w:basedOn w:val="DefaultParagraphFont"/>
    <w:uiPriority w:val="99"/>
    <w:semiHidden/>
    <w:unhideWhenUsed/>
    <w:qFormat/>
    <w:rsid w:val="00A058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058AA"/>
    <w:pPr>
      <w:widowControl/>
      <w:spacing w:after="160" w:line="259" w:lineRule="auto"/>
      <w:ind w:firstLineChars="200" w:firstLine="42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customStyle="1" w:styleId="10">
    <w:name w:val="网格型1"/>
    <w:basedOn w:val="TableNormal"/>
    <w:uiPriority w:val="39"/>
    <w:qFormat/>
    <w:rsid w:val="00A058AA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A058A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sid w:val="00A058AA"/>
    <w:rPr>
      <w:color w:val="605E5C"/>
      <w:shd w:val="clear" w:color="auto" w:fill="E1DFDD"/>
    </w:rPr>
  </w:style>
  <w:style w:type="paragraph" w:customStyle="1" w:styleId="11">
    <w:name w:val="列出段落11"/>
    <w:basedOn w:val="Normal"/>
    <w:uiPriority w:val="34"/>
    <w:qFormat/>
    <w:rsid w:val="00A058AA"/>
    <w:pPr>
      <w:widowControl/>
      <w:ind w:firstLineChars="200" w:firstLine="42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fontstyle01">
    <w:name w:val="fontstyle01"/>
    <w:basedOn w:val="DefaultParagraphFont"/>
    <w:qFormat/>
    <w:rsid w:val="00A058AA"/>
    <w:rPr>
      <w:rFonts w:ascii="Times-Roman" w:hAnsi="Times-Roman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sid w:val="00A058AA"/>
    <w:rPr>
      <w:rFonts w:ascii="Calibri" w:hAnsi="Calibri" w:cs="Calibri" w:hint="default"/>
      <w:color w:val="000000"/>
      <w:sz w:val="22"/>
      <w:szCs w:val="22"/>
    </w:rPr>
  </w:style>
  <w:style w:type="paragraph" w:customStyle="1" w:styleId="view-popup">
    <w:name w:val="view-popup"/>
    <w:basedOn w:val="Normal"/>
    <w:qFormat/>
    <w:rsid w:val="00A058A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12">
    <w:name w:val="修订1"/>
    <w:hidden/>
    <w:uiPriority w:val="99"/>
    <w:semiHidden/>
    <w:qFormat/>
    <w:rsid w:val="00A058AA"/>
  </w:style>
  <w:style w:type="character" w:customStyle="1" w:styleId="highlight">
    <w:name w:val="highlight"/>
    <w:basedOn w:val="DefaultParagraphFont"/>
    <w:qFormat/>
    <w:rsid w:val="00A058AA"/>
  </w:style>
  <w:style w:type="character" w:customStyle="1" w:styleId="3">
    <w:name w:val="未处理的提及3"/>
    <w:basedOn w:val="DefaultParagraphFont"/>
    <w:uiPriority w:val="99"/>
    <w:semiHidden/>
    <w:unhideWhenUsed/>
    <w:rsid w:val="00A058AA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A058AA"/>
    <w:rPr>
      <w:rFonts w:ascii="DengXian-Bold" w:hAnsi="DengXian-Bold" w:hint="default"/>
      <w:b/>
      <w:bCs/>
      <w:i w:val="0"/>
      <w:iCs w:val="0"/>
      <w:color w:val="1C1D1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泽</dc:creator>
  <cp:keywords/>
  <dc:description/>
  <cp:lastModifiedBy>PC6</cp:lastModifiedBy>
  <cp:revision>5</cp:revision>
  <dcterms:created xsi:type="dcterms:W3CDTF">2021-01-10T10:13:00Z</dcterms:created>
  <dcterms:modified xsi:type="dcterms:W3CDTF">2021-03-02T05:31:00Z</dcterms:modified>
</cp:coreProperties>
</file>