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6C4E3" w14:textId="0A153AB5" w:rsidR="005F0AF4" w:rsidRDefault="008F14F2" w:rsidP="005F0AF4">
      <w:pPr>
        <w:rPr>
          <w:rStyle w:val="CommentReferenc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5F0AF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CC30B7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5F0AF4">
        <w:rPr>
          <w:rFonts w:ascii="Times New Roman" w:hAnsi="Times New Roman" w:cs="Times New Roman"/>
          <w:b/>
          <w:sz w:val="24"/>
          <w:szCs w:val="24"/>
        </w:rPr>
        <w:t>. Detail findings of studies included in the meta-analysis for association between prenatal air pollution and risk of hypospadias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52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27"/>
        <w:gridCol w:w="5358"/>
      </w:tblGrid>
      <w:tr w:rsidR="008109FC" w:rsidRPr="00F03E90" w14:paraId="5C4F63D6" w14:textId="77777777" w:rsidTr="00F1122A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FC1959" w14:textId="77777777" w:rsidR="008109FC" w:rsidRDefault="008109FC" w:rsidP="00574014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A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uthor’s name [</w:t>
            </w:r>
            <w:r w:rsidRPr="00E3189E"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Ref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],</w:t>
            </w:r>
            <w:r w:rsidRPr="00E3189E">
              <w:rPr>
                <w:rFonts w:ascii="Times New Roman" w:eastAsia="SimSu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year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1A33D225" w14:textId="16E3ACB1" w:rsidR="008109FC" w:rsidRDefault="001E3A69" w:rsidP="008109FC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Exposure Variable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1E7C2E" w14:textId="77777777" w:rsidR="002100E7" w:rsidRDefault="008109FC" w:rsidP="00365D54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Main</w:t>
            </w: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findings related to</w:t>
            </w: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 xml:space="preserve"> h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 xml:space="preserve">ypospadias </w:t>
            </w: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d</w:t>
            </w:r>
            <w:r>
              <w:rPr>
                <w:rFonts w:ascii="Times New Roman" w:eastAsia="SimSun" w:hAnsi="Times New Roman" w:cs="Times New Roman"/>
                <w:b/>
                <w:bCs/>
                <w:szCs w:val="21"/>
              </w:rPr>
              <w:t>efects</w:t>
            </w: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 xml:space="preserve"> </w:t>
            </w:r>
          </w:p>
          <w:p w14:paraId="19653FDB" w14:textId="2C1856FE" w:rsidR="008109FC" w:rsidRDefault="008109FC" w:rsidP="00365D54">
            <w:pPr>
              <w:jc w:val="center"/>
              <w:rPr>
                <w:rFonts w:ascii="Times New Roman" w:eastAsia="SimSu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 xml:space="preserve">OR </w:t>
            </w:r>
            <w:r w:rsidR="0076568B">
              <w:rPr>
                <w:rFonts w:ascii="Times New Roman" w:eastAsia="SimSun" w:hAnsi="Times New Roman" w:cs="Times New Roman"/>
                <w:b/>
                <w:bCs/>
                <w:szCs w:val="21"/>
              </w:rPr>
              <w:t>(</w:t>
            </w:r>
            <w:r>
              <w:rPr>
                <w:rFonts w:ascii="Times New Roman" w:eastAsia="SimSun" w:hAnsi="Times New Roman" w:cs="Times New Roman" w:hint="eastAsia"/>
                <w:b/>
                <w:bCs/>
                <w:szCs w:val="21"/>
              </w:rPr>
              <w:t>95% CI)</w:t>
            </w:r>
          </w:p>
        </w:tc>
      </w:tr>
      <w:tr w:rsidR="008109FC" w14:paraId="1FBAC080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0DB771" w14:textId="77777777" w:rsidR="00365D54" w:rsidRDefault="008109FC" w:rsidP="00365D5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Dolk et al. </w:t>
            </w:r>
          </w:p>
          <w:p w14:paraId="6CB5FA2E" w14:textId="2BB753A8" w:rsidR="008109FC" w:rsidRDefault="008109FC" w:rsidP="00365D5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[</w:t>
            </w:r>
            <w:r w:rsidR="006F20AC">
              <w:rPr>
                <w:rFonts w:ascii="Times New Roman" w:eastAsia="SimSun" w:hAnsi="Times New Roman" w:cs="Times New Roman"/>
                <w:szCs w:val="21"/>
              </w:rPr>
              <w:t>23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1998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2D0E3F62" w14:textId="059ACEE6" w:rsidR="008109FC" w:rsidRPr="00822495" w:rsidRDefault="001E3A69" w:rsidP="008109FC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Categorical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4BB711" w14:textId="69A70363" w:rsidR="008109FC" w:rsidRPr="00822495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within 3 km:1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96 (0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98-3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92)</w:t>
            </w:r>
          </w:p>
        </w:tc>
      </w:tr>
      <w:tr w:rsidR="008109FC" w14:paraId="09CC7E9B" w14:textId="77777777" w:rsidTr="008F4E39">
        <w:trPr>
          <w:trHeight w:val="1134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77A040" w14:textId="6D6A8B56" w:rsidR="008109FC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Elliott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="006F20AC">
              <w:rPr>
                <w:rFonts w:ascii="Times New Roman" w:eastAsia="SimSun" w:hAnsi="Times New Roman" w:cs="Times New Roman"/>
                <w:szCs w:val="21"/>
              </w:rPr>
              <w:t>24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2001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6EA5CE0D" w14:textId="7B291A46" w:rsidR="008109FC" w:rsidRDefault="001E3A69" w:rsidP="008109FC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Categorical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68D050" w14:textId="77777777" w:rsidR="00087260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Near landfill (&lt;2 km)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SimSun" w:hAnsi="Times New Roman" w:cs="Times New Roman"/>
                <w:szCs w:val="21"/>
              </w:rPr>
              <w:t>1.07 (1.04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1.10)</w:t>
            </w:r>
          </w:p>
          <w:p w14:paraId="038AC8AF" w14:textId="29B91BB6" w:rsidR="008109FC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All wastes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SimSun" w:hAnsi="Times New Roman" w:cs="Times New Roman"/>
                <w:szCs w:val="21"/>
              </w:rPr>
              <w:t>1.07 (1.04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1.10)</w:t>
            </w:r>
          </w:p>
          <w:p w14:paraId="0EEF2F5F" w14:textId="77777777" w:rsidR="00087260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Special waste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:</w:t>
            </w:r>
            <w:r>
              <w:rPr>
                <w:rFonts w:ascii="Times New Roman" w:eastAsia="SimSun" w:hAnsi="Times New Roman" w:cs="Times New Roman"/>
                <w:szCs w:val="21"/>
              </w:rPr>
              <w:t>1.11 (1.03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1.21)</w:t>
            </w:r>
          </w:p>
          <w:p w14:paraId="31F7C850" w14:textId="539825CE" w:rsidR="008109FC" w:rsidRPr="00822495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Non-special waste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1.07 (1.04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1.11)</w:t>
            </w:r>
          </w:p>
        </w:tc>
      </w:tr>
      <w:tr w:rsidR="008109FC" w14:paraId="2983ED4D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21B61C" w14:textId="30C19A27" w:rsidR="008109FC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Morris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="006F20AC">
              <w:rPr>
                <w:rFonts w:ascii="Times New Roman" w:eastAsia="SimSun" w:hAnsi="Times New Roman" w:cs="Times New Roman"/>
                <w:szCs w:val="21"/>
              </w:rPr>
              <w:t>25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200</w:t>
            </w:r>
            <w:r>
              <w:rPr>
                <w:rFonts w:ascii="Times New Roman" w:eastAsia="SimSun" w:hAnsi="Times New Roman" w:cs="Times New Roman"/>
                <w:szCs w:val="21"/>
              </w:rPr>
              <w:t>3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1F42A6B7" w14:textId="763026B9" w:rsidR="008109FC" w:rsidRDefault="001E3A69" w:rsidP="008109FC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Categorical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5413AE" w14:textId="69DEB13F" w:rsidR="008109FC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&lt; 2 km from a 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s</w:t>
            </w:r>
            <w:r>
              <w:rPr>
                <w:rFonts w:ascii="Times New Roman" w:eastAsia="SimSun" w:hAnsi="Times New Roman" w:cs="Times New Roman"/>
                <w:szCs w:val="21"/>
              </w:rPr>
              <w:t>pecial waste sit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0.84 (0.58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1.22)</w:t>
            </w:r>
          </w:p>
        </w:tc>
      </w:tr>
      <w:tr w:rsidR="008109FC" w14:paraId="5D971C2F" w14:textId="77777777" w:rsidTr="008F4E39">
        <w:trPr>
          <w:trHeight w:val="1134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337CD0" w14:textId="061C16F2" w:rsidR="008109FC" w:rsidRPr="00822495" w:rsidRDefault="008109FC" w:rsidP="00365D5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Cordier</w:t>
            </w:r>
            <w:r w:rsidR="00365D54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et al.</w:t>
            </w:r>
            <w:r w:rsidR="00365D54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[</w:t>
            </w:r>
            <w:r w:rsidR="006F20AC">
              <w:rPr>
                <w:rFonts w:ascii="Times New Roman" w:eastAsia="SimSun" w:hAnsi="Times New Roman" w:cs="Times New Roman"/>
                <w:szCs w:val="21"/>
              </w:rPr>
              <w:t>26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2004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07EABA0D" w14:textId="70B1F5B8" w:rsidR="008109FC" w:rsidRPr="00822495" w:rsidRDefault="001E3A69" w:rsidP="008109FC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Categorical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48093C" w14:textId="5B027260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0.88 (0.66-1.19)</w:t>
            </w:r>
          </w:p>
        </w:tc>
      </w:tr>
      <w:tr w:rsidR="008109FC" w14:paraId="69BAEC4C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212BAB" w14:textId="136F2BEA" w:rsidR="008109FC" w:rsidRPr="00822495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Padula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="006F20AC">
              <w:rPr>
                <w:rFonts w:ascii="Times New Roman" w:eastAsia="SimSun" w:hAnsi="Times New Roman" w:cs="Times New Roman"/>
                <w:szCs w:val="21"/>
              </w:rPr>
              <w:t>27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2013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62A64559" w14:textId="19EF9695" w:rsidR="008109FC" w:rsidRPr="00822495" w:rsidRDefault="001E3A69" w:rsidP="008109FC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Categorical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94E482" w14:textId="52F02AC9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CO: 1.4 (0.6-3.0)</w:t>
            </w:r>
          </w:p>
          <w:p w14:paraId="630F4191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NO: 1.7 (0.8-3.7)</w:t>
            </w:r>
          </w:p>
          <w:p w14:paraId="5B53388F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 1.1 (0.5-2.4)</w:t>
            </w:r>
          </w:p>
          <w:p w14:paraId="22AD9A78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 0.8 (0.4-1.8)</w:t>
            </w:r>
          </w:p>
          <w:p w14:paraId="790BC33C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 0.8 (0.3-2.0)</w:t>
            </w:r>
          </w:p>
          <w:p w14:paraId="534DC63D" w14:textId="7BD613DD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O</w:t>
            </w:r>
            <w:r w:rsidRPr="00F1122A">
              <w:rPr>
                <w:rFonts w:ascii="Times New Roman" w:eastAsia="SimSun" w:hAnsi="Times New Roman" w:cs="Times New Roman"/>
                <w:szCs w:val="21"/>
                <w:vertAlign w:val="subscript"/>
              </w:rPr>
              <w:t>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8–hour </w:t>
            </w:r>
            <w:r w:rsidR="00BF583D">
              <w:rPr>
                <w:rFonts w:ascii="Times New Roman" w:eastAsia="SimSun" w:hAnsi="Times New Roman" w:cs="Times New Roman"/>
                <w:szCs w:val="21"/>
              </w:rPr>
              <w:t>m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aximum: 0.7 (0.3-1.5)</w:t>
            </w:r>
          </w:p>
        </w:tc>
      </w:tr>
      <w:tr w:rsidR="008109FC" w14:paraId="4166582D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080D28" w14:textId="1C1EBD4C" w:rsidR="008109FC" w:rsidRPr="00822495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Vinikoor-Imler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="006F20AC">
              <w:rPr>
                <w:rFonts w:ascii="Times New Roman" w:eastAsia="SimSun" w:hAnsi="Times New Roman" w:cs="Times New Roman"/>
                <w:szCs w:val="21"/>
              </w:rPr>
              <w:t>28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2013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0873184E" w14:textId="6F286F53" w:rsidR="008109FC" w:rsidRPr="00822495" w:rsidRDefault="001E3A69" w:rsidP="008109FC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Continuous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ED8070" w14:textId="1FBF497E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0.98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(0.90-1.07)</w:t>
            </w:r>
          </w:p>
          <w:p w14:paraId="0065186A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O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0.95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(0.86-1.06)</w:t>
            </w:r>
          </w:p>
        </w:tc>
      </w:tr>
      <w:tr w:rsidR="008109FC" w14:paraId="597F6D6A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517CA3" w14:textId="77777777" w:rsidR="008109FC" w:rsidRPr="00822495" w:rsidRDefault="008109FC" w:rsidP="00365D5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Schembari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17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2014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152EA7F8" w14:textId="3015DABD" w:rsidR="008109FC" w:rsidRPr="00822495" w:rsidRDefault="001E3A69" w:rsidP="008109FC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Continuous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27233F" w14:textId="42781E49" w:rsidR="008109FC" w:rsidRPr="00822495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1994–2006:</w:t>
            </w:r>
          </w:p>
          <w:p w14:paraId="63802444" w14:textId="77777777" w:rsidR="008109FC" w:rsidRPr="00822495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1.02 (0.78-1.34)</w:t>
            </w:r>
          </w:p>
          <w:p w14:paraId="45FC329F" w14:textId="77777777" w:rsidR="008109FC" w:rsidRPr="00822495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X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0.98 (0.91-1.05)</w:t>
            </w:r>
          </w:p>
          <w:p w14:paraId="772EE981" w14:textId="6423B06B" w:rsidR="008109FC" w:rsidRPr="00822495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2.5 absorbance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:0.89 (0.57-1.39)</w:t>
            </w:r>
          </w:p>
          <w:p w14:paraId="5DC101B5" w14:textId="77777777" w:rsidR="008109FC" w:rsidRPr="00822495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2000–2006:</w:t>
            </w:r>
          </w:p>
          <w:p w14:paraId="506B62BB" w14:textId="77777777" w:rsidR="008109FC" w:rsidRPr="00822495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: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1.15 (0.94-1.41)</w:t>
            </w:r>
          </w:p>
          <w:p w14:paraId="42B781F1" w14:textId="77777777" w:rsidR="008109FC" w:rsidRPr="00822495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PM 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coarse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: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1.15 (0.77-1.70)</w:t>
            </w:r>
          </w:p>
          <w:p w14:paraId="1500C482" w14:textId="77777777" w:rsidR="008109FC" w:rsidRPr="00822495" w:rsidRDefault="008109FC" w:rsidP="00087260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: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1.18 (0.87-1.60)</w:t>
            </w:r>
          </w:p>
        </w:tc>
      </w:tr>
      <w:tr w:rsidR="008109FC" w14:paraId="36629D6B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957293" w14:textId="77777777" w:rsidR="008109FC" w:rsidRPr="00822495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Vinikoor-Imler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18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2015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11869D5B" w14:textId="36F46138" w:rsidR="008109FC" w:rsidRPr="00822495" w:rsidRDefault="001E3A69" w:rsidP="008109FC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Continuous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91691" w14:textId="39EE9994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1.14 (0.89-1.44)</w:t>
            </w:r>
          </w:p>
          <w:p w14:paraId="3CC3961D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O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1.20 (0.92-1.57)</w:t>
            </w:r>
          </w:p>
        </w:tc>
      </w:tr>
      <w:tr w:rsidR="008109FC" w14:paraId="1C9A6A2E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0C8673" w14:textId="77777777" w:rsidR="00365D54" w:rsidRDefault="008109FC" w:rsidP="00365D54">
            <w:pPr>
              <w:widowControl/>
              <w:ind w:left="525" w:hangingChars="250" w:hanging="525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lastRenderedPageBreak/>
              <w:t>Landau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et</w:t>
            </w:r>
            <w:r w:rsidR="00365D54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>al.</w:t>
            </w:r>
          </w:p>
          <w:p w14:paraId="003DE545" w14:textId="59490B72" w:rsidR="008109FC" w:rsidRPr="00822495" w:rsidRDefault="008109FC" w:rsidP="00365D54">
            <w:pPr>
              <w:widowControl/>
              <w:ind w:left="525" w:hangingChars="250" w:hanging="525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[</w:t>
            </w:r>
            <w:r w:rsidR="006F20AC">
              <w:rPr>
                <w:rFonts w:ascii="Times New Roman" w:eastAsia="SimSun" w:hAnsi="Times New Roman" w:cs="Times New Roman"/>
                <w:szCs w:val="21"/>
              </w:rPr>
              <w:t>31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="00365D54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>2015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2789147B" w14:textId="6D2C8FBD" w:rsidR="008109FC" w:rsidRPr="00822495" w:rsidRDefault="001E3A69" w:rsidP="008109FC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SimSun" w:hAnsi="Times New Roman" w:cs="Times New Roman"/>
                <w:szCs w:val="21"/>
              </w:rPr>
              <w:t>/A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9141E9" w14:textId="744F76AF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>N/A</w:t>
            </w:r>
          </w:p>
        </w:tc>
      </w:tr>
      <w:tr w:rsidR="008109FC" w14:paraId="5DF1C5A0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E8231A" w14:textId="7D806C4B" w:rsidR="008109FC" w:rsidRPr="00822495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Vinceti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="006F20AC">
              <w:rPr>
                <w:rFonts w:ascii="Times New Roman" w:eastAsia="SimSun" w:hAnsi="Times New Roman" w:cs="Times New Roman"/>
                <w:szCs w:val="21"/>
              </w:rPr>
              <w:t>29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2016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4367CFCD" w14:textId="61933DFE" w:rsidR="008109FC" w:rsidRPr="00822495" w:rsidRDefault="001E3A69" w:rsidP="008109FC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Continuous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9785B8" w14:textId="391C7C69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 w:hint="eastAsia"/>
                <w:szCs w:val="21"/>
                <w:vertAlign w:val="subscript"/>
              </w:rPr>
              <w:t>10</w:t>
            </w:r>
            <w:r w:rsidR="005650DB">
              <w:rPr>
                <w:rFonts w:ascii="Times New Roman" w:eastAsia="SimSun" w:hAnsi="Times New Roman" w:cs="Times New Roman"/>
                <w:szCs w:val="21"/>
              </w:rPr>
              <w:t>:</w:t>
            </w:r>
            <w:r w:rsidR="00AF5C57">
              <w:rPr>
                <w:rFonts w:ascii="Times New Roman" w:eastAsia="SimSun" w:hAnsi="Times New Roman" w:cs="Times New Roman"/>
                <w:szCs w:val="21"/>
              </w:rPr>
              <w:t xml:space="preserve"> OR</w:t>
            </w:r>
            <w:r w:rsidR="00AF5C57" w:rsidRPr="00AF5C57">
              <w:rPr>
                <w:rFonts w:ascii="Times New Roman" w:eastAsia="SimSun" w:hAnsi="Times New Roman" w:cs="Times New Roman"/>
                <w:szCs w:val="21"/>
                <w:vertAlign w:val="superscript"/>
              </w:rPr>
              <w:t>2</w:t>
            </w:r>
            <w:r w:rsidR="005650DB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0.56 (0.11-2.88)</w:t>
            </w:r>
          </w:p>
        </w:tc>
      </w:tr>
      <w:tr w:rsidR="008109FC" w14:paraId="26FCD0AD" w14:textId="77777777" w:rsidTr="008F4E39">
        <w:trPr>
          <w:trHeight w:val="702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3D92FC" w14:textId="77777777" w:rsidR="00365D54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Ren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</w:p>
          <w:p w14:paraId="1F37668A" w14:textId="561BA95F" w:rsidR="008109FC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[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19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2018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73D91520" w14:textId="40092F68" w:rsidR="008109FC" w:rsidRPr="00822495" w:rsidRDefault="001E3A69" w:rsidP="008109FC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Continuous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6586B0" w14:textId="009BCB76" w:rsidR="008109FC" w:rsidRPr="00822495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10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km cohort:</w:t>
            </w:r>
          </w:p>
          <w:p w14:paraId="70ECDD82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 months before</w:t>
            </w:r>
          </w:p>
          <w:p w14:paraId="49FAC0AF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increment:1.00 (0.77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1.31)</w:t>
            </w:r>
          </w:p>
          <w:p w14:paraId="33BEC82D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1.01 (0.59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1.72)</w:t>
            </w:r>
          </w:p>
          <w:p w14:paraId="39122E94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 month before</w:t>
            </w:r>
          </w:p>
          <w:p w14:paraId="0991C181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1.16 (0.96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1.40)</w:t>
            </w:r>
          </w:p>
          <w:p w14:paraId="37B92E42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1.36 (0.92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2.00)</w:t>
            </w:r>
          </w:p>
          <w:p w14:paraId="56305CE3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Month of conception</w:t>
            </w:r>
          </w:p>
          <w:p w14:paraId="1868522D" w14:textId="77777777" w:rsidR="008109FC" w:rsidRPr="00822495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1.39 (1.07-1.81)</w:t>
            </w:r>
          </w:p>
          <w:p w14:paraId="7525366D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1.97 (1.14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3.38)</w:t>
            </w:r>
          </w:p>
          <w:p w14:paraId="2FA5E8A3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Average of 3 months</w:t>
            </w:r>
          </w:p>
          <w:p w14:paraId="0ADA8491" w14:textId="77777777" w:rsidR="008109FC" w:rsidRPr="00822495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1.27 (0.99-1.61)</w:t>
            </w:r>
          </w:p>
          <w:p w14:paraId="7C1C6FDC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1.97 (0.98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3.96)</w:t>
            </w:r>
          </w:p>
          <w:p w14:paraId="69FC4C2C" w14:textId="77777777" w:rsidR="008109FC" w:rsidRPr="00822495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7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km cohort:</w:t>
            </w:r>
          </w:p>
          <w:p w14:paraId="0F031A91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 months before</w:t>
            </w:r>
          </w:p>
          <w:p w14:paraId="051ED358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1.02 (0.79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1.31)</w:t>
            </w:r>
          </w:p>
          <w:p w14:paraId="0A9E7FF5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 1.03 (0.62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1.73)</w:t>
            </w:r>
          </w:p>
          <w:p w14:paraId="7D9F9B30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 month before</w:t>
            </w:r>
          </w:p>
          <w:p w14:paraId="6F1181B0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1.39 (1.15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1.69)</w:t>
            </w:r>
          </w:p>
          <w:p w14:paraId="0DA92385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 2.00 (1.34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2.95)</w:t>
            </w:r>
          </w:p>
          <w:p w14:paraId="2CC44C0E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Month of conception</w:t>
            </w:r>
          </w:p>
          <w:p w14:paraId="01A68B68" w14:textId="77777777" w:rsidR="008109FC" w:rsidRPr="00822495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1.47 (1.06-2.02)</w:t>
            </w:r>
          </w:p>
          <w:p w14:paraId="6D3ED1D8" w14:textId="77777777" w:rsidR="008109FC" w:rsidRPr="00822495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2.18 (1.13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4.20)</w:t>
            </w:r>
          </w:p>
          <w:p w14:paraId="52FAC761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Average of 3 months</w:t>
            </w:r>
          </w:p>
          <w:p w14:paraId="0819C6DF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1.44 (1.07-1.94)</w:t>
            </w:r>
          </w:p>
          <w:p w14:paraId="673EDE3B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2.82 (1.21-6.58)</w:t>
            </w:r>
          </w:p>
          <w:p w14:paraId="132FBCFA" w14:textId="6F4939E4" w:rsidR="008109FC" w:rsidRPr="00822495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5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km cohort</w:t>
            </w:r>
          </w:p>
          <w:p w14:paraId="2971855C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2 months before</w:t>
            </w:r>
          </w:p>
          <w:p w14:paraId="0315D94A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 1.22 (0.93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1.59)</w:t>
            </w:r>
          </w:p>
          <w:p w14:paraId="783DAE91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1.48 (0.87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2.54)</w:t>
            </w:r>
          </w:p>
          <w:p w14:paraId="715EE3D7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1 month before</w:t>
            </w:r>
          </w:p>
          <w:p w14:paraId="6057A6EA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1.41 (1.08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1.85)</w:t>
            </w:r>
          </w:p>
          <w:p w14:paraId="1DAB49EF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2.05 (1.17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3.59)</w:t>
            </w:r>
          </w:p>
          <w:p w14:paraId="4F401104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Month of conception</w:t>
            </w:r>
          </w:p>
          <w:p w14:paraId="67D9B352" w14:textId="77777777" w:rsidR="008109FC" w:rsidRPr="00822495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IQR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1.39 (0.96-2.02)</w:t>
            </w:r>
          </w:p>
          <w:p w14:paraId="25C14E12" w14:textId="77777777" w:rsidR="008109FC" w:rsidRPr="00822495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1.96 (0.92-4.17)</w:t>
            </w:r>
          </w:p>
          <w:p w14:paraId="03DCD6FE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Average of 3 months</w:t>
            </w:r>
          </w:p>
          <w:p w14:paraId="4A308891" w14:textId="77777777" w:rsidR="008109FC" w:rsidRPr="00822495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lastRenderedPageBreak/>
              <w:t>per IQR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1.53 (1.10-2.14)</w:t>
            </w:r>
          </w:p>
          <w:p w14:paraId="42F408A7" w14:textId="77777777" w:rsidR="008109FC" w:rsidRDefault="008109FC" w:rsidP="00087260">
            <w:pPr>
              <w:jc w:val="left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per 10 um/m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increment: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3.35 (1.31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8.61)</w:t>
            </w:r>
          </w:p>
        </w:tc>
      </w:tr>
      <w:tr w:rsidR="008109FC" w14:paraId="38809963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DE46CD" w14:textId="77777777" w:rsidR="008109FC" w:rsidRPr="00822495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lastRenderedPageBreak/>
              <w:t>Salavati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2018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7AC05266" w14:textId="5913206C" w:rsidR="008109FC" w:rsidRDefault="001E3A69" w:rsidP="008109FC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Continuous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</w:tcPr>
          <w:p w14:paraId="294F0B07" w14:textId="6A0C73B8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With control group 1</w:t>
            </w:r>
          </w:p>
          <w:p w14:paraId="5866DC3D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SimSun" w:hAnsi="Times New Roman" w:cs="Times New Roman"/>
                <w:szCs w:val="21"/>
              </w:rPr>
              <w:t>: 1.00 (0.97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1.04)</w:t>
            </w:r>
          </w:p>
          <w:p w14:paraId="7D1C020C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X</w:t>
            </w:r>
            <w:r>
              <w:rPr>
                <w:rFonts w:ascii="Times New Roman" w:eastAsia="SimSun" w:hAnsi="Times New Roman" w:cs="Times New Roman"/>
                <w:szCs w:val="21"/>
              </w:rPr>
              <w:t>: 0.99 (0.97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1.02)</w:t>
            </w:r>
          </w:p>
          <w:p w14:paraId="36878A29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</w:rPr>
              <w:t>: 0.99 (0.80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1.21)</w:t>
            </w:r>
          </w:p>
          <w:p w14:paraId="08CC0DDB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  <w:r>
              <w:rPr>
                <w:rFonts w:ascii="Times New Roman" w:eastAsia="SimSun" w:hAnsi="Times New Roman" w:cs="Times New Roman"/>
                <w:szCs w:val="21"/>
              </w:rPr>
              <w:t>: 1.24 (0.83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1.86)</w:t>
            </w:r>
          </w:p>
          <w:p w14:paraId="173C3E90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087260">
              <w:rPr>
                <w:rFonts w:ascii="Times New Roman" w:eastAsia="SimSun" w:hAnsi="Times New Roman" w:cs="Times New Roman"/>
                <w:szCs w:val="21"/>
                <w:vertAlign w:val="subscript"/>
              </w:rPr>
              <w:t>10-2.5</w:t>
            </w:r>
            <w:r>
              <w:rPr>
                <w:rFonts w:ascii="Times New Roman" w:eastAsia="SimSun" w:hAnsi="Times New Roman" w:cs="Times New Roman"/>
                <w:szCs w:val="21"/>
              </w:rPr>
              <w:t>: 0.96 (0.66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1.41)</w:t>
            </w:r>
          </w:p>
          <w:p w14:paraId="7D38D008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With control group 2</w:t>
            </w:r>
          </w:p>
          <w:p w14:paraId="0791CC2E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SimSun" w:hAnsi="Times New Roman" w:cs="Times New Roman"/>
                <w:szCs w:val="21"/>
              </w:rPr>
              <w:t>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1.04 (1.01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1.07)</w:t>
            </w:r>
          </w:p>
          <w:p w14:paraId="7F52AB31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bookmarkStart w:id="1" w:name="_Hlk33801970"/>
            <w:r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X</w:t>
            </w:r>
            <w:r>
              <w:rPr>
                <w:rFonts w:ascii="Times New Roman" w:eastAsia="SimSun" w:hAnsi="Times New Roman" w:cs="Times New Roman"/>
                <w:szCs w:val="21"/>
              </w:rPr>
              <w:t>: 1.02 (1.00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1.04)</w:t>
            </w:r>
          </w:p>
          <w:bookmarkEnd w:id="1"/>
          <w:p w14:paraId="217E76A1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  <w:r>
              <w:rPr>
                <w:rFonts w:ascii="Times New Roman" w:eastAsia="SimSun" w:hAnsi="Times New Roman" w:cs="Times New Roman"/>
                <w:szCs w:val="21"/>
              </w:rPr>
              <w:t>: 1.15 (0.97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1.37)</w:t>
            </w:r>
          </w:p>
          <w:p w14:paraId="0B99D3D6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  <w:r>
              <w:rPr>
                <w:rFonts w:ascii="Times New Roman" w:eastAsia="SimSun" w:hAnsi="Times New Roman" w:cs="Times New Roman"/>
                <w:szCs w:val="21"/>
              </w:rPr>
              <w:t>: 1.29 (0.94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1.78)</w:t>
            </w:r>
          </w:p>
          <w:p w14:paraId="276067F3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10-2.5</w:t>
            </w:r>
            <w:r>
              <w:rPr>
                <w:rFonts w:ascii="Times New Roman" w:eastAsia="SimSun" w:hAnsi="Times New Roman" w:cs="Times New Roman"/>
                <w:szCs w:val="21"/>
              </w:rPr>
              <w:t>: 1.46 (1.05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2.03)</w:t>
            </w:r>
          </w:p>
        </w:tc>
      </w:tr>
      <w:tr w:rsidR="008109FC" w14:paraId="642E8BE7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94913" w14:textId="0ADF70FD" w:rsidR="008109FC" w:rsidRPr="00822495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Sheth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="006F20AC">
              <w:rPr>
                <w:rFonts w:ascii="Times New Roman" w:eastAsia="SimSun" w:hAnsi="Times New Roman" w:cs="Times New Roman"/>
                <w:szCs w:val="21"/>
              </w:rPr>
              <w:t>30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2019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343BEB73" w14:textId="2CC59AFE" w:rsidR="008109FC" w:rsidRPr="00822495" w:rsidRDefault="001E3A69" w:rsidP="008109FC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Categorical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</w:tcPr>
          <w:p w14:paraId="05C53D24" w14:textId="3F261D39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Biphenyl:</w:t>
            </w:r>
          </w:p>
          <w:p w14:paraId="7AC73C61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Medium–low: 1.08 (1.01-1.16)</w:t>
            </w:r>
          </w:p>
          <w:p w14:paraId="48645F2E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Medium: 1.08 (1.01-1.16)</w:t>
            </w:r>
          </w:p>
          <w:p w14:paraId="4DA450FC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Medium–high: 1.06 (0.99-1.14)</w:t>
            </w:r>
          </w:p>
          <w:p w14:paraId="33C3B541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High: 0.95 (0.88-1.02)</w:t>
            </w:r>
          </w:p>
          <w:p w14:paraId="760D530E" w14:textId="603248A1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4-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Nitrophenol:</w:t>
            </w:r>
          </w:p>
          <w:p w14:paraId="7838351F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Medium–low: 1.04 (0.97-1.12)</w:t>
            </w:r>
          </w:p>
          <w:p w14:paraId="1F5ADBFA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Medium: 1.04 (0.97-1.11)</w:t>
            </w:r>
          </w:p>
          <w:p w14:paraId="7BB5C714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Medium–high: 1.07 (0.99-1.15)</w:t>
            </w:r>
          </w:p>
          <w:p w14:paraId="07A3527D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High: 1.04 (0.96-1.12)</w:t>
            </w:r>
          </w:p>
          <w:p w14:paraId="1FA04194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Bis(2-ethylhexyl)phthalate:</w:t>
            </w:r>
          </w:p>
          <w:p w14:paraId="62009F22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Medium–low: 0.90 (0.82-0.99)</w:t>
            </w:r>
          </w:p>
          <w:p w14:paraId="4CE5C96C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Medium: 0.97 (0.88-1.06)</w:t>
            </w:r>
          </w:p>
          <w:p w14:paraId="266D078E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Medium–high: 0.92 (0.83-1.01)</w:t>
            </w:r>
          </w:p>
          <w:p w14:paraId="3FC7ABD3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High: 0.95 (0.87-1.05)</w:t>
            </w:r>
          </w:p>
          <w:p w14:paraId="6A17A44D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Cresols:</w:t>
            </w:r>
          </w:p>
          <w:p w14:paraId="28071855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Medium–low: 1.02 (0.95-1.10)</w:t>
            </w:r>
          </w:p>
          <w:p w14:paraId="333D401C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Medium: 0.97 (0.90-1.06)</w:t>
            </w:r>
          </w:p>
          <w:p w14:paraId="4FD133BC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Medium–high: 1.06 (0.98-1.14)</w:t>
            </w:r>
          </w:p>
          <w:p w14:paraId="27BA8AAA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High: 1.01 (0.92-1.10)</w:t>
            </w:r>
          </w:p>
          <w:p w14:paraId="3A666DA8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Dibutylphthalate:</w:t>
            </w:r>
          </w:p>
          <w:p w14:paraId="06898DF7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Medium–low: 1.07 (0.99-1.14)</w:t>
            </w:r>
          </w:p>
          <w:p w14:paraId="6617FE97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Medium: 1.07 (1.00-1.15)</w:t>
            </w:r>
          </w:p>
          <w:p w14:paraId="418EDA18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Medium–high: 1.09 (1.01-1.17)</w:t>
            </w:r>
          </w:p>
          <w:p w14:paraId="2051B27F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High: 1.03 (0.96-1.11)</w:t>
            </w:r>
          </w:p>
          <w:p w14:paraId="79397B90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Dimethyl phthalate</w:t>
            </w:r>
          </w:p>
          <w:p w14:paraId="2D4643D1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Medium–low: 1.01 (0.94-1.09)</w:t>
            </w:r>
          </w:p>
          <w:p w14:paraId="7BA4702E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Medium: 1.07 (1.00-1.15)</w:t>
            </w:r>
          </w:p>
          <w:p w14:paraId="6E708AF2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Medium–high: 1.09 (1.01-1.17)</w:t>
            </w:r>
          </w:p>
          <w:p w14:paraId="6E8F5807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High: 1.15 (1.07-1.23)</w:t>
            </w:r>
          </w:p>
          <w:p w14:paraId="0C30F6F6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lastRenderedPageBreak/>
              <w:t>Naphthalene</w:t>
            </w:r>
          </w:p>
          <w:p w14:paraId="4D7EFCEE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Medium–low: 1.04 (0.96-1.12)</w:t>
            </w:r>
          </w:p>
          <w:p w14:paraId="1BBA0DD4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Medium: 1.06 (0.98-1.15)</w:t>
            </w:r>
          </w:p>
          <w:p w14:paraId="4BB14FE9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Medium–high: 1.03 (0.95-1.12)</w:t>
            </w:r>
          </w:p>
          <w:p w14:paraId="6C538BF0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High: 0.99 (0.90-1.09)</w:t>
            </w:r>
          </w:p>
          <w:p w14:paraId="5C2C5E69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Pentachlorophenol</w:t>
            </w:r>
          </w:p>
          <w:p w14:paraId="2D2ED576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Medium–low: 1.04 (0.96-1.14)</w:t>
            </w:r>
          </w:p>
          <w:p w14:paraId="78BFD83F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Medium: 0.99 (0.90-1.09)</w:t>
            </w:r>
          </w:p>
          <w:p w14:paraId="72D7D48E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Medium–high: 1.06 (0.98-1.15)</w:t>
            </w:r>
          </w:p>
          <w:p w14:paraId="5D024C89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High: 1.10 (1.01-1.20)</w:t>
            </w:r>
          </w:p>
          <w:p w14:paraId="3C3F14D6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Phenol</w:t>
            </w:r>
          </w:p>
          <w:p w14:paraId="5B0F3340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Medium–low: 1.19 (1.11-1.28)</w:t>
            </w:r>
          </w:p>
          <w:p w14:paraId="712E1276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Medium: 1.27 (1.19-1.37)</w:t>
            </w:r>
          </w:p>
          <w:p w14:paraId="0F872E82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Medium–high: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1.16 (1.08-1.24)</w:t>
            </w:r>
          </w:p>
          <w:p w14:paraId="500FEB98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High: 1.04 (0.97-1.12)</w:t>
            </w:r>
          </w:p>
          <w:p w14:paraId="0DCE132B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Polychlorinated biphenyls</w:t>
            </w:r>
          </w:p>
          <w:p w14:paraId="35C21025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Medium–low: 1.07 (0.99-1.15)</w:t>
            </w:r>
          </w:p>
          <w:p w14:paraId="70F225C5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Medium: 1.11 (1.03-1.20)</w:t>
            </w:r>
          </w:p>
          <w:p w14:paraId="149FD79A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Medium–high: 1.08 (1.00-1.16)</w:t>
            </w:r>
          </w:p>
          <w:p w14:paraId="531EEB1D" w14:textId="77777777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High: 1.03 (0.95-1.11)</w:t>
            </w:r>
          </w:p>
        </w:tc>
      </w:tr>
      <w:tr w:rsidR="008109FC" w14:paraId="714E51F4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A0AFC" w14:textId="77777777" w:rsidR="008109FC" w:rsidRPr="00822495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lastRenderedPageBreak/>
              <w:t>White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21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2019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7F02D6DB" w14:textId="446C98F7" w:rsidR="008109FC" w:rsidRPr="00822495" w:rsidRDefault="001E3A69" w:rsidP="008109FC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Categorical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45F3B" w14:textId="79C46926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Arsenic:</w:t>
            </w:r>
          </w:p>
          <w:p w14:paraId="0E0633AD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Medium-low: 1.00 (0.93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1.07)</w:t>
            </w:r>
          </w:p>
          <w:p w14:paraId="1EF93423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Medium: 1.08 (1.01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1.16)</w:t>
            </w:r>
          </w:p>
          <w:p w14:paraId="5951F6B5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Medium-high: 1.01 (0.94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1.09)</w:t>
            </w:r>
          </w:p>
          <w:p w14:paraId="38726F59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High: 1.18 (1.10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1.27)</w:t>
            </w:r>
          </w:p>
          <w:p w14:paraId="19266AE6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Cadmium:</w:t>
            </w:r>
          </w:p>
          <w:p w14:paraId="71DFAA8E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Medium-low: 1.04 (0.96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1.11)</w:t>
            </w:r>
          </w:p>
          <w:p w14:paraId="2C9F01D9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Medium: 1.13 (1.05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1.21)</w:t>
            </w:r>
          </w:p>
          <w:p w14:paraId="6B16A9D6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Medium-high: 1.11 (1.03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1.19)</w:t>
            </w:r>
          </w:p>
          <w:p w14:paraId="5F7E65EF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High: 1.00 (0.93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1.08)</w:t>
            </w:r>
          </w:p>
          <w:p w14:paraId="0F1970F2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Chromium:</w:t>
            </w:r>
          </w:p>
          <w:p w14:paraId="5E0EB5B3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Medium-low: 1.08 (1.00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1.16)</w:t>
            </w:r>
          </w:p>
          <w:p w14:paraId="755D804C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Medium: 1.05 (0.97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1.12)</w:t>
            </w:r>
          </w:p>
          <w:p w14:paraId="1F0FCF82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Medium-high: 1.12 (1.04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1.20)</w:t>
            </w:r>
          </w:p>
          <w:p w14:paraId="3C987748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High: 1.10 (1.02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1.19)</w:t>
            </w:r>
          </w:p>
          <w:p w14:paraId="4024E2D1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Lead:</w:t>
            </w:r>
          </w:p>
          <w:p w14:paraId="621E47B6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Medium-low: 0.99 (0.92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,</w:t>
            </w:r>
            <w:r>
              <w:rPr>
                <w:rFonts w:ascii="Times New Roman" w:eastAsia="SimSun" w:hAnsi="Times New Roman" w:cs="Times New Roman"/>
                <w:szCs w:val="21"/>
              </w:rPr>
              <w:t>1.07)</w:t>
            </w:r>
          </w:p>
          <w:p w14:paraId="3EB1FE83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Medium: 1.04 (0.97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1.12)</w:t>
            </w:r>
          </w:p>
          <w:p w14:paraId="4D7DC8EC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Medium-high: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1.13 (1.05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1.21)</w:t>
            </w:r>
          </w:p>
          <w:p w14:paraId="6D91DDB3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High: 1.20 (1.11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>,</w:t>
            </w:r>
            <w:r>
              <w:rPr>
                <w:rFonts w:ascii="Times New Roman" w:eastAsia="SimSun" w:hAnsi="Times New Roman" w:cs="Times New Roman"/>
                <w:szCs w:val="21"/>
              </w:rPr>
              <w:t>1.28)</w:t>
            </w:r>
          </w:p>
          <w:p w14:paraId="0FF2FF50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Manganese:</w:t>
            </w:r>
          </w:p>
          <w:p w14:paraId="78394719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Medium-low: 1.06 (0.98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1.14)</w:t>
            </w:r>
          </w:p>
          <w:p w14:paraId="48697C46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Medium: 1.12 (1.04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1.20)</w:t>
            </w:r>
          </w:p>
          <w:p w14:paraId="11D15C61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Medium-high: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1.18 (1.10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1.27)</w:t>
            </w:r>
          </w:p>
          <w:p w14:paraId="27D1ABA3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High: 1.11 (1.03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1.20)</w:t>
            </w:r>
          </w:p>
          <w:p w14:paraId="31B2611C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Mercury:</w:t>
            </w:r>
          </w:p>
          <w:p w14:paraId="2344414C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Medium-low: 1.06 (0.99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1.14)</w:t>
            </w:r>
          </w:p>
          <w:p w14:paraId="0C89B716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Medium: 1.16 (1.08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1.24)</w:t>
            </w:r>
          </w:p>
          <w:p w14:paraId="1A417C7E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Medium-high: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1.14 (1.06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1.23)</w:t>
            </w:r>
          </w:p>
          <w:p w14:paraId="5D51BBC6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High: 1.08 (1.00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1.16)</w:t>
            </w:r>
          </w:p>
          <w:p w14:paraId="239D7824" w14:textId="77777777" w:rsidR="008109FC" w:rsidRPr="00822495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Nickel:</w:t>
            </w:r>
          </w:p>
          <w:p w14:paraId="6B16D56B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Medium-low: 1.03 (0.95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1.10)</w:t>
            </w:r>
          </w:p>
          <w:p w14:paraId="660649A1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Medium: 1.14 (1.06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1.22)</w:t>
            </w:r>
          </w:p>
          <w:p w14:paraId="1A4384BA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Medium-high: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1.09 (1.02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1.17)</w:t>
            </w:r>
          </w:p>
          <w:p w14:paraId="2B4781E1" w14:textId="77777777" w:rsidR="008109FC" w:rsidRDefault="008109FC" w:rsidP="008109FC">
            <w:pPr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>High: 1.04 (0.97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1.12)</w:t>
            </w:r>
          </w:p>
        </w:tc>
      </w:tr>
      <w:tr w:rsidR="008109FC" w14:paraId="4858C292" w14:textId="77777777" w:rsidTr="008F4E39">
        <w:trPr>
          <w:trHeight w:val="835"/>
          <w:jc w:val="center"/>
        </w:trPr>
        <w:tc>
          <w:tcPr>
            <w:tcW w:w="90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AAE6D7" w14:textId="77777777" w:rsidR="008109FC" w:rsidRPr="00822495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Parkes 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22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>20</w:t>
            </w:r>
          </w:p>
        </w:tc>
        <w:tc>
          <w:tcPr>
            <w:tcW w:w="999" w:type="pct"/>
            <w:tcBorders>
              <w:left w:val="nil"/>
              <w:right w:val="nil"/>
            </w:tcBorders>
            <w:vAlign w:val="center"/>
          </w:tcPr>
          <w:p w14:paraId="3FBFE39C" w14:textId="0F4E6099" w:rsidR="008109FC" w:rsidRPr="00822495" w:rsidRDefault="001E3A69" w:rsidP="008109FC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Continuous</w:t>
            </w:r>
          </w:p>
        </w:tc>
        <w:tc>
          <w:tcPr>
            <w:tcW w:w="309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66A0D9" w14:textId="769CDD24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: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1.00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(0.90-1.12)</w:t>
            </w:r>
          </w:p>
          <w:p w14:paraId="7B355708" w14:textId="16FF644E" w:rsidR="008109FC" w:rsidRPr="00822495" w:rsidRDefault="008109FC" w:rsidP="008109FC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Proximity to nearest MWI: 1.07 (1.01-1.12)</w:t>
            </w:r>
          </w:p>
        </w:tc>
      </w:tr>
      <w:tr w:rsidR="008109FC" w14:paraId="3A23EAC9" w14:textId="77777777" w:rsidTr="008F4E39">
        <w:trPr>
          <w:trHeight w:val="1135"/>
          <w:jc w:val="center"/>
        </w:trPr>
        <w:tc>
          <w:tcPr>
            <w:tcW w:w="90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D2DD7" w14:textId="77777777" w:rsidR="008109FC" w:rsidRDefault="008109FC" w:rsidP="00574014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/>
                <w:szCs w:val="21"/>
              </w:rPr>
              <w:t xml:space="preserve">Huang 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et al.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[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20</w:t>
            </w:r>
            <w:r>
              <w:rPr>
                <w:rFonts w:ascii="Times New Roman" w:eastAsia="SimSun" w:hAnsi="Times New Roman" w:cs="Times New Roman"/>
                <w:szCs w:val="21"/>
              </w:rPr>
              <w:t>],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2020</w:t>
            </w:r>
          </w:p>
        </w:tc>
        <w:tc>
          <w:tcPr>
            <w:tcW w:w="99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B8B0AF" w14:textId="792CE7C5" w:rsidR="008109FC" w:rsidRPr="00822495" w:rsidRDefault="001E3A69" w:rsidP="008109FC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Continuous</w:t>
            </w:r>
          </w:p>
        </w:tc>
        <w:tc>
          <w:tcPr>
            <w:tcW w:w="309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443991" w14:textId="3F8BA7FF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10</w:t>
            </w:r>
          </w:p>
          <w:p w14:paraId="44614CD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  <w:p w14:paraId="63CC98EF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month:1.03 (0.79-1.34)</w:t>
            </w:r>
          </w:p>
          <w:p w14:paraId="3B13ECB4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month:1.02 (0.80-1.31)</w:t>
            </w:r>
          </w:p>
          <w:p w14:paraId="066C941B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month:1.00 (0.78-1.28)</w:t>
            </w:r>
          </w:p>
          <w:p w14:paraId="0E7A73B4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month:1.02 (0.81-1.29)</w:t>
            </w:r>
          </w:p>
          <w:p w14:paraId="0AB57418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Post-conception</w:t>
            </w:r>
          </w:p>
          <w:p w14:paraId="6E337CEE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1.07 (0.83-1.39)</w:t>
            </w:r>
          </w:p>
          <w:p w14:paraId="484CA9DA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1.14 (0.90-1.46)</w:t>
            </w:r>
          </w:p>
          <w:p w14:paraId="401CDF8B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1.21 (0.95-1.55)</w:t>
            </w:r>
          </w:p>
          <w:p w14:paraId="2EB8BF0C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1.15 (0.91-1.45)</w:t>
            </w:r>
          </w:p>
          <w:p w14:paraId="00860A4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3–4 month: 1.11 (0.86-1.44)</w:t>
            </w:r>
          </w:p>
          <w:p w14:paraId="3143F964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4–5 month: 1.06 (0.83-1.35)</w:t>
            </w:r>
          </w:p>
          <w:p w14:paraId="17C33764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5–6 month: 1.08 (0.84-1.39)</w:t>
            </w:r>
          </w:p>
          <w:p w14:paraId="3730AFF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3–6 month: 1.09 (0.86-1.39)</w:t>
            </w:r>
          </w:p>
          <w:p w14:paraId="61DA59A6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2.5</w:t>
            </w:r>
          </w:p>
          <w:p w14:paraId="10AE142B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  <w:p w14:paraId="01486774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1.11 (0.85-1.46)</w:t>
            </w:r>
          </w:p>
          <w:p w14:paraId="51B5789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1.05 (0.81-1.36)</w:t>
            </w:r>
          </w:p>
          <w:p w14:paraId="39E06CE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0.97 (0.75-1.26)</w:t>
            </w:r>
          </w:p>
          <w:p w14:paraId="71BEF817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1.05 (0.81-1.35)</w:t>
            </w:r>
          </w:p>
          <w:p w14:paraId="46407534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Post-conception</w:t>
            </w:r>
          </w:p>
          <w:p w14:paraId="31DD26A1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1.23 (0.95-1.60)</w:t>
            </w:r>
          </w:p>
          <w:p w14:paraId="0C1FC70F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1.23 (0.96-1.58)</w:t>
            </w:r>
          </w:p>
          <w:p w14:paraId="3A243263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1.32 (1.02-1.71)</w:t>
            </w:r>
          </w:p>
          <w:p w14:paraId="19ADD2B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1.29 (1.01-1.65)</w:t>
            </w:r>
          </w:p>
          <w:p w14:paraId="3C7871CB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3–4 month: 1.21 (0.92-1.57)</w:t>
            </w:r>
          </w:p>
          <w:p w14:paraId="73B25A0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4–5 month: 1.15 (0.89-1.48)</w:t>
            </w:r>
          </w:p>
          <w:p w14:paraId="1C33A95D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5–6 month: 1.18 (0.90-1.54)</w:t>
            </w:r>
          </w:p>
          <w:p w14:paraId="04F515E7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3–6 month: 1.20 (0.93-1.54)</w:t>
            </w:r>
          </w:p>
          <w:p w14:paraId="4955EC7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PM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2.5–10</w:t>
            </w:r>
          </w:p>
          <w:p w14:paraId="005DC896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  <w:p w14:paraId="28E4C1D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0.95 (0.77-1.18)</w:t>
            </w:r>
          </w:p>
          <w:p w14:paraId="6AEC1F8E" w14:textId="77777777" w:rsidR="008109FC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1.00 (0.81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1.23)</w:t>
            </w:r>
          </w:p>
          <w:p w14:paraId="7F836E63" w14:textId="77777777" w:rsidR="008109FC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1.03 (0.83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1.27)</w:t>
            </w:r>
          </w:p>
          <w:p w14:paraId="702ECA11" w14:textId="77777777" w:rsidR="008109FC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1.00 (0.82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1.21)</w:t>
            </w:r>
          </w:p>
          <w:p w14:paraId="4E0AE2FD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Post-conception</w:t>
            </w:r>
          </w:p>
          <w:p w14:paraId="12B2E4A5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0.91 (0.73-1.14)</w:t>
            </w:r>
          </w:p>
          <w:p w14:paraId="73FA5485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1.02 (0.83-1.26)</w:t>
            </w:r>
          </w:p>
          <w:p w14:paraId="6589769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1.08 (0.88-1.31)</w:t>
            </w:r>
          </w:p>
          <w:p w14:paraId="65966314" w14:textId="77777777" w:rsidR="008109FC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1.00 (0.83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1.22)</w:t>
            </w:r>
          </w:p>
          <w:p w14:paraId="5563DE44" w14:textId="77777777" w:rsidR="008109FC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3–4 month: </w:t>
            </w:r>
            <w:r>
              <w:rPr>
                <w:rFonts w:ascii="Times New Roman" w:eastAsia="SimSun" w:hAnsi="Times New Roman" w:cs="Times New Roman"/>
                <w:szCs w:val="21"/>
              </w:rPr>
              <w:t>1.00 (0.81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1.24)</w:t>
            </w:r>
          </w:p>
          <w:p w14:paraId="7352B50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4–5 month: 0.96 (0.78-1.18)</w:t>
            </w:r>
          </w:p>
          <w:p w14:paraId="46F80E6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5–6 month: 0.99 (0.81-1.21)</w:t>
            </w:r>
          </w:p>
          <w:p w14:paraId="354D9A9A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3–6 month: 0.98 (0.80-1.20)</w:t>
            </w:r>
          </w:p>
          <w:p w14:paraId="7D30D238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2</w:t>
            </w:r>
          </w:p>
          <w:p w14:paraId="54FDAB1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  <w:p w14:paraId="2299C88F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0.97 (0.69-1.36)</w:t>
            </w:r>
          </w:p>
          <w:p w14:paraId="00AFCDB3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0.76 (0.55-1.07)</w:t>
            </w:r>
          </w:p>
          <w:p w14:paraId="737304E5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0.89 (0.65-1.21)</w:t>
            </w:r>
          </w:p>
          <w:p w14:paraId="1E8FC03A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0.85 (0.59-1.21)</w:t>
            </w:r>
          </w:p>
          <w:p w14:paraId="0BCE39D4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Post-conception</w:t>
            </w:r>
          </w:p>
          <w:p w14:paraId="018D3BCF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0.94 (0.68-1.30)</w:t>
            </w:r>
          </w:p>
          <w:p w14:paraId="223C13BF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1.13 (0.80-1.59)</w:t>
            </w:r>
          </w:p>
          <w:p w14:paraId="75CE4BEB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1.14 (0.82-1.59)</w:t>
            </w:r>
          </w:p>
          <w:p w14:paraId="0643714B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1.07 (0.75-1.52)</w:t>
            </w:r>
          </w:p>
          <w:p w14:paraId="645E104D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3–4 month: 1.01 (0.73-1.41)</w:t>
            </w:r>
          </w:p>
          <w:p w14:paraId="07A453CF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4–5 month: 1.03 (0.74-1.44)</w:t>
            </w:r>
          </w:p>
          <w:p w14:paraId="462FED03" w14:textId="77777777" w:rsidR="008109FC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5–6 month:</w:t>
            </w:r>
            <w:r>
              <w:rPr>
                <w:rFonts w:ascii="Times New Roman" w:eastAsia="SimSun" w:hAnsi="Times New Roman" w:cs="Times New Roman"/>
                <w:szCs w:val="21"/>
              </w:rPr>
              <w:t xml:space="preserve"> 1.00 (0.71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-</w:t>
            </w:r>
            <w:r>
              <w:rPr>
                <w:rFonts w:ascii="Times New Roman" w:eastAsia="SimSun" w:hAnsi="Times New Roman" w:cs="Times New Roman"/>
                <w:szCs w:val="21"/>
              </w:rPr>
              <w:t>1.42)</w:t>
            </w:r>
          </w:p>
          <w:p w14:paraId="37A46A8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3–6 month: 1.02 (0.71-1.46)</w:t>
            </w:r>
          </w:p>
          <w:p w14:paraId="3996853F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NO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x</w:t>
            </w:r>
          </w:p>
          <w:p w14:paraId="5E828612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  <w:p w14:paraId="505E459E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0.99 (0.70-1.39)</w:t>
            </w:r>
          </w:p>
          <w:p w14:paraId="4BA19983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0.75 (0.54-1.05)</w:t>
            </w:r>
          </w:p>
          <w:p w14:paraId="118B0BA3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0.87 (0.63-1.18)</w:t>
            </w:r>
          </w:p>
          <w:p w14:paraId="1E4A25E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0.84 (0.59-1.20)</w:t>
            </w:r>
          </w:p>
          <w:p w14:paraId="1D9D303E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Post-conception</w:t>
            </w:r>
          </w:p>
          <w:p w14:paraId="325070C6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0.88 (0.64-1.21)</w:t>
            </w:r>
          </w:p>
          <w:p w14:paraId="530322E3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1.08 (0.77-1.51)</w:t>
            </w:r>
          </w:p>
          <w:p w14:paraId="3A5E38D4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1.05 (0.76-1.45)</w:t>
            </w:r>
          </w:p>
          <w:p w14:paraId="4BB6F91A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0.99 (0.69-1.40)</w:t>
            </w:r>
          </w:p>
          <w:p w14:paraId="457F3D5A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3–4 month: 0.95 (0.68-1.33)</w:t>
            </w:r>
          </w:p>
          <w:p w14:paraId="3D61768B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4–5 month: 0.91 (0.66-1.26)</w:t>
            </w:r>
          </w:p>
          <w:p w14:paraId="5F0D8BF5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5–6 month: 0.92 (0.66-1.29)</w:t>
            </w:r>
          </w:p>
          <w:p w14:paraId="25BF319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3–6 month: 0.92 (0.65-1.30</w:t>
            </w:r>
            <w:r w:rsidRPr="00822495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  <w:p w14:paraId="32DD28F2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O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3</w:t>
            </w:r>
          </w:p>
          <w:p w14:paraId="69789844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  <w:p w14:paraId="5276461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0.95 (0.73-1.25)</w:t>
            </w:r>
          </w:p>
          <w:p w14:paraId="1E6ABA18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0.97 (0.77-1.22)</w:t>
            </w:r>
          </w:p>
          <w:p w14:paraId="7F71DBDE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0.89 (0.70-1.13)</w:t>
            </w:r>
          </w:p>
          <w:p w14:paraId="4E0CD9D8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0.92 (0.73-1.16)</w:t>
            </w:r>
          </w:p>
          <w:p w14:paraId="5E0E1998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Post-conception</w:t>
            </w:r>
          </w:p>
          <w:p w14:paraId="5DF8CC2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1.40(1.08-1.82)</w:t>
            </w:r>
          </w:p>
          <w:p w14:paraId="2CBD28F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1.02 (0.81-1.28)</w:t>
            </w:r>
          </w:p>
          <w:p w14:paraId="6FD99765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1.11 (0.84-1.47)</w:t>
            </w:r>
          </w:p>
          <w:p w14:paraId="0991EDB6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1.18 (0.95-1.47)</w:t>
            </w:r>
          </w:p>
          <w:p w14:paraId="3E5927DF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3–4 month: 0.91 (0.67-1.23)</w:t>
            </w:r>
          </w:p>
          <w:p w14:paraId="7D5B7E2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4–5 month: 1.08 (0.86-1.36)</w:t>
            </w:r>
          </w:p>
          <w:p w14:paraId="3A03D72B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5–6 month: 1.04 (0.80-1.36)</w:t>
            </w:r>
          </w:p>
          <w:p w14:paraId="4062523B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3–6 month: 1.02 (0.80-1.30)</w:t>
            </w:r>
          </w:p>
          <w:p w14:paraId="16F97176" w14:textId="2E93ACFD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O</w:t>
            </w:r>
            <w:r w:rsidRPr="00BF583D">
              <w:rPr>
                <w:rFonts w:ascii="Times New Roman" w:eastAsia="SimSun" w:hAnsi="Times New Roman" w:cs="Times New Roman"/>
                <w:szCs w:val="21"/>
                <w:vertAlign w:val="subscript"/>
              </w:rPr>
              <w:t>3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8</w:t>
            </w:r>
            <w:r w:rsidR="00087260">
              <w:rPr>
                <w:rFonts w:ascii="Times New Roman" w:eastAsia="SimSun" w:hAnsi="Times New Roman" w:cs="Times New Roman" w:hint="eastAsia"/>
                <w:szCs w:val="21"/>
              </w:rPr>
              <w:t>-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>h</w:t>
            </w:r>
            <w:r w:rsidR="00087260">
              <w:rPr>
                <w:rFonts w:ascii="Times New Roman" w:eastAsia="SimSun" w:hAnsi="Times New Roman" w:cs="Times New Roman"/>
                <w:szCs w:val="21"/>
              </w:rPr>
              <w:t>our</w:t>
            </w:r>
            <w:r w:rsidRPr="00822495">
              <w:rPr>
                <w:rFonts w:ascii="Times New Roman" w:eastAsia="SimSun" w:hAnsi="Times New Roman" w:cs="Times New Roman"/>
                <w:szCs w:val="21"/>
              </w:rPr>
              <w:t xml:space="preserve"> </w:t>
            </w:r>
            <w:r w:rsidR="00BF583D">
              <w:rPr>
                <w:rFonts w:ascii="Times New Roman" w:eastAsia="SimSun" w:hAnsi="Times New Roman" w:cs="Times New Roman"/>
                <w:szCs w:val="21"/>
              </w:rPr>
              <w:t>m</w:t>
            </w:r>
            <w:r w:rsidR="00BF583D" w:rsidRPr="00822495">
              <w:rPr>
                <w:rFonts w:ascii="Times New Roman" w:eastAsia="SimSun" w:hAnsi="Times New Roman" w:cs="Times New Roman"/>
                <w:szCs w:val="21"/>
              </w:rPr>
              <w:t>aximum</w:t>
            </w:r>
          </w:p>
          <w:p w14:paraId="7A826F0A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Pre-conception</w:t>
            </w:r>
          </w:p>
          <w:p w14:paraId="78EAD528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0.98 (0.78-1.24)</w:t>
            </w:r>
          </w:p>
          <w:p w14:paraId="6400498E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0.92 (0.74-1.15)</w:t>
            </w:r>
          </w:p>
          <w:p w14:paraId="7A12A752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0.91 (0.74-1.11)</w:t>
            </w:r>
          </w:p>
          <w:p w14:paraId="38A9F3B8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0.92 (0.74-1.14)</w:t>
            </w:r>
          </w:p>
          <w:p w14:paraId="6AF7A84B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Post-conception</w:t>
            </w:r>
          </w:p>
          <w:p w14:paraId="3A0025E7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0–1 month: 1.25 (0.99-1.58)</w:t>
            </w:r>
          </w:p>
          <w:p w14:paraId="32BAF50C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1–2 month: 1.09 (0.88-1.34)</w:t>
            </w:r>
          </w:p>
          <w:p w14:paraId="495796F0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2–3 month: 1.11 (0.87-1.42)</w:t>
            </w:r>
          </w:p>
          <w:p w14:paraId="40465D43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0–3 month: 1.17 (0.95-1.45)</w:t>
            </w:r>
          </w:p>
          <w:p w14:paraId="6674B8A4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3–4 month: 0.87 (0.67-1.12)</w:t>
            </w:r>
          </w:p>
          <w:p w14:paraId="26DC5B99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4–5 month: 1.04 (0.84-1.29)</w:t>
            </w:r>
          </w:p>
          <w:p w14:paraId="6EB2C543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5–6 month: 1.11 (0.89-1.39)</w:t>
            </w:r>
          </w:p>
          <w:p w14:paraId="5B467C85" w14:textId="77777777" w:rsidR="008109FC" w:rsidRPr="00822495" w:rsidRDefault="008109FC" w:rsidP="00087260">
            <w:pPr>
              <w:widowControl/>
              <w:rPr>
                <w:rFonts w:ascii="Times New Roman" w:eastAsia="SimSun" w:hAnsi="Times New Roman" w:cs="Times New Roman"/>
                <w:szCs w:val="21"/>
              </w:rPr>
            </w:pPr>
            <w:r w:rsidRPr="00822495">
              <w:rPr>
                <w:rFonts w:ascii="Times New Roman" w:eastAsia="SimSun" w:hAnsi="Times New Roman" w:cs="Times New Roman"/>
                <w:szCs w:val="21"/>
              </w:rPr>
              <w:t>3–6 month: 1.01 (0.81-1.26)</w:t>
            </w:r>
          </w:p>
        </w:tc>
      </w:tr>
    </w:tbl>
    <w:p w14:paraId="6BCEFBA7" w14:textId="2B790CDC" w:rsidR="00C1459F" w:rsidRDefault="00C1459F" w:rsidP="00C1459F">
      <w:pPr>
        <w:rPr>
          <w:rFonts w:ascii="Times New Roman" w:eastAsia="SimSun" w:hAnsi="Times New Roman" w:cs="Times New Roman"/>
          <w:bCs/>
          <w:szCs w:val="21"/>
        </w:rPr>
      </w:pPr>
      <w:r>
        <w:rPr>
          <w:rStyle w:val="CommentReference"/>
          <w:rFonts w:ascii="Times New Roman" w:hAnsi="Times New Roman" w:cs="Times New Roman"/>
        </w:rPr>
        <w:t xml:space="preserve">Abbreviations: CI, confidence interval; CO, </w:t>
      </w:r>
      <w:r>
        <w:rPr>
          <w:rFonts w:ascii="Times New Roman" w:hAnsi="Times New Roman" w:cs="Times New Roman"/>
          <w:szCs w:val="21"/>
        </w:rPr>
        <w:t>carbon monoxide;</w:t>
      </w:r>
      <w:r>
        <w:rPr>
          <w:rStyle w:val="CommentReference"/>
          <w:rFonts w:ascii="Times New Roman" w:hAnsi="Times New Roman" w:cs="Times New Roman"/>
        </w:rPr>
        <w:t xml:space="preserve"> </w:t>
      </w:r>
      <w:r>
        <w:rPr>
          <w:rFonts w:ascii="Times New Roman" w:eastAsia="SimSun" w:hAnsi="Times New Roman" w:cs="Times New Roman" w:hint="eastAsia"/>
          <w:bCs/>
          <w:szCs w:val="21"/>
        </w:rPr>
        <w:t xml:space="preserve">IQR, interquartile range; </w:t>
      </w:r>
      <w:r>
        <w:rPr>
          <w:rFonts w:ascii="Times New Roman" w:eastAsia="SimSun" w:hAnsi="Times New Roman" w:cs="Times New Roman"/>
          <w:bCs/>
          <w:szCs w:val="21"/>
        </w:rPr>
        <w:t>MWI,</w:t>
      </w:r>
      <w:r>
        <w:rPr>
          <w:rFonts w:ascii="Times New Roman" w:eastAsia="SimSun" w:hAnsi="Times New Roman" w:cs="Times New Roman" w:hint="eastAsia"/>
          <w:bCs/>
          <w:szCs w:val="21"/>
        </w:rPr>
        <w:t xml:space="preserve"> </w:t>
      </w:r>
      <w:r>
        <w:rPr>
          <w:rFonts w:ascii="Times New Roman" w:eastAsia="SimSun" w:hAnsi="Times New Roman" w:cs="Times New Roman"/>
          <w:bCs/>
          <w:szCs w:val="21"/>
        </w:rPr>
        <w:t>municipal waste incinerators</w:t>
      </w:r>
      <w:r>
        <w:rPr>
          <w:rStyle w:val="CommentReference"/>
          <w:rFonts w:ascii="Times New Roman" w:hAnsi="Times New Roman" w:cs="Times New Roman"/>
        </w:rPr>
        <w:t>; N/A, not available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ommentReference"/>
          <w:rFonts w:ascii="Times New Roman" w:hAnsi="Times New Roman" w:cs="Times New Roman"/>
        </w:rPr>
        <w:t>NO, nitric oxide; NO</w:t>
      </w:r>
      <w:r>
        <w:rPr>
          <w:rStyle w:val="CommentReference"/>
          <w:rFonts w:ascii="Times New Roman" w:hAnsi="Times New Roman" w:cs="Times New Roman"/>
          <w:vertAlign w:val="subscript"/>
        </w:rPr>
        <w:t>2</w:t>
      </w:r>
      <w:r>
        <w:rPr>
          <w:rStyle w:val="CommentReference"/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Cs w:val="21"/>
        </w:rPr>
        <w:t>nitrogen oxide;</w:t>
      </w:r>
      <w:r>
        <w:rPr>
          <w:rStyle w:val="CommentReference"/>
          <w:rFonts w:ascii="Times New Roman" w:hAnsi="Times New Roman" w:cs="Times New Roman"/>
        </w:rPr>
        <w:t xml:space="preserve"> NO</w:t>
      </w:r>
      <w:r>
        <w:rPr>
          <w:rStyle w:val="CommentReference"/>
          <w:rFonts w:ascii="Times New Roman" w:hAnsi="Times New Roman" w:cs="Times New Roman"/>
          <w:vertAlign w:val="subscript"/>
        </w:rPr>
        <w:t>X</w:t>
      </w:r>
      <w:r>
        <w:rPr>
          <w:rStyle w:val="CommentReference"/>
          <w:rFonts w:ascii="Times New Roman" w:hAnsi="Times New Roman" w:cs="Times New Roman" w:hint="eastAsia"/>
        </w:rPr>
        <w:t>,</w:t>
      </w:r>
      <w:r>
        <w:rPr>
          <w:rStyle w:val="CommentReference"/>
          <w:rFonts w:ascii="Times New Roman" w:hAnsi="Times New Roman" w:cs="Times New Roman"/>
        </w:rPr>
        <w:t xml:space="preserve"> </w:t>
      </w:r>
      <w:r>
        <w:rPr>
          <w:rStyle w:val="CommentReference"/>
          <w:rFonts w:ascii="Times New Roman" w:hAnsi="Times New Roman" w:cs="Times New Roman" w:hint="eastAsia"/>
        </w:rPr>
        <w:t>n</w:t>
      </w:r>
      <w:r>
        <w:rPr>
          <w:rStyle w:val="CommentReference"/>
          <w:rFonts w:ascii="Times New Roman" w:hAnsi="Times New Roman" w:cs="Times New Roman"/>
        </w:rPr>
        <w:t>itrogen oxides</w:t>
      </w:r>
      <w:r>
        <w:rPr>
          <w:rStyle w:val="CommentReference"/>
          <w:rFonts w:ascii="Times New Roman" w:hAnsi="Times New Roman" w:cs="Times New Roman" w:hint="eastAsia"/>
        </w:rPr>
        <w:t xml:space="preserve">; </w:t>
      </w:r>
      <w:r>
        <w:rPr>
          <w:rStyle w:val="CommentReference"/>
          <w:rFonts w:ascii="Times New Roman" w:hAnsi="Times New Roman" w:cs="Times New Roman"/>
        </w:rPr>
        <w:t>O</w:t>
      </w:r>
      <w:r>
        <w:rPr>
          <w:rStyle w:val="CommentReference"/>
          <w:rFonts w:ascii="Times New Roman" w:hAnsi="Times New Roman" w:cs="Times New Roman"/>
          <w:vertAlign w:val="subscript"/>
        </w:rPr>
        <w:t>3</w:t>
      </w:r>
      <w:r>
        <w:rPr>
          <w:rStyle w:val="CommentReference"/>
          <w:rFonts w:ascii="Times New Roman" w:hAnsi="Times New Roman" w:cs="Times New Roman"/>
        </w:rPr>
        <w:t>,</w:t>
      </w:r>
      <w:r>
        <w:rPr>
          <w:rStyle w:val="CommentReference"/>
          <w:rFonts w:ascii="Times New Roman" w:hAnsi="Times New Roman" w:cs="Times New Roman" w:hint="eastAsia"/>
        </w:rPr>
        <w:t xml:space="preserve"> ozone; </w:t>
      </w:r>
      <w:r>
        <w:rPr>
          <w:rStyle w:val="CommentReference"/>
          <w:rFonts w:ascii="Times New Roman" w:hAnsi="Times New Roman" w:cs="Times New Roman"/>
        </w:rPr>
        <w:t xml:space="preserve">OR, odds ratio; </w:t>
      </w:r>
      <w:r>
        <w:rPr>
          <w:rFonts w:ascii="Times New Roman" w:eastAsia="SimSun" w:hAnsi="Times New Roman" w:cs="Times New Roman"/>
          <w:bCs/>
          <w:szCs w:val="21"/>
        </w:rPr>
        <w:t xml:space="preserve">PM </w:t>
      </w:r>
      <w:r>
        <w:rPr>
          <w:rFonts w:ascii="Times New Roman" w:eastAsia="SimSun" w:hAnsi="Times New Roman" w:cs="Times New Roman"/>
          <w:bCs/>
          <w:szCs w:val="21"/>
          <w:vertAlign w:val="subscript"/>
        </w:rPr>
        <w:t>coarse</w:t>
      </w:r>
      <w:r>
        <w:rPr>
          <w:rFonts w:ascii="Times New Roman" w:eastAsia="SimSun" w:hAnsi="Times New Roman" w:cs="Times New Roman"/>
          <w:bCs/>
          <w:szCs w:val="21"/>
        </w:rPr>
        <w:t xml:space="preserve">, </w:t>
      </w:r>
      <w:r>
        <w:rPr>
          <w:rFonts w:ascii="Times New Roman" w:hAnsi="Times New Roman" w:cs="Times New Roman"/>
          <w:szCs w:val="21"/>
        </w:rPr>
        <w:t>particulate matter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eastAsia="SimSun" w:hAnsi="Times New Roman" w:cs="Times New Roman"/>
          <w:bCs/>
          <w:szCs w:val="21"/>
        </w:rPr>
        <w:t>coarse</w:t>
      </w:r>
      <w:r>
        <w:rPr>
          <w:rFonts w:ascii="Times New Roman" w:eastAsia="SimSun" w:hAnsi="Times New Roman" w:cs="Times New Roman" w:hint="eastAsia"/>
          <w:bCs/>
          <w:szCs w:val="21"/>
        </w:rPr>
        <w:t>;</w:t>
      </w:r>
      <w:r>
        <w:rPr>
          <w:rFonts w:ascii="Times New Roman" w:eastAsia="SimSun" w:hAnsi="Times New Roman" w:cs="Times New Roman"/>
          <w:bCs/>
          <w:szCs w:val="21"/>
        </w:rPr>
        <w:t xml:space="preserve"> </w:t>
      </w:r>
      <w:r>
        <w:rPr>
          <w:rStyle w:val="CommentReference"/>
          <w:rFonts w:ascii="Times New Roman" w:hAnsi="Times New Roman" w:cs="Times New Roman"/>
        </w:rPr>
        <w:t>PM</w:t>
      </w:r>
      <w:r>
        <w:rPr>
          <w:rStyle w:val="CommentReference"/>
          <w:rFonts w:ascii="Times New Roman" w:hAnsi="Times New Roman" w:cs="Times New Roman"/>
          <w:vertAlign w:val="subscript"/>
        </w:rPr>
        <w:t>10</w:t>
      </w:r>
      <w:r>
        <w:rPr>
          <w:rStyle w:val="CommentReference"/>
          <w:rFonts w:ascii="Times New Roman" w:hAnsi="Times New Roman" w:cs="Times New Roman"/>
        </w:rPr>
        <w:t xml:space="preserve">, </w:t>
      </w:r>
      <w:r>
        <w:rPr>
          <w:rStyle w:val="CommentReference"/>
          <w:rFonts w:ascii="Times New Roman" w:hAnsi="Times New Roman" w:cs="Times New Roman" w:hint="eastAsia"/>
        </w:rPr>
        <w:t xml:space="preserve">particulate matter with aerodynamic diameter </w:t>
      </w:r>
      <w:r>
        <w:rPr>
          <w:rStyle w:val="CommentReference"/>
          <w:rFonts w:ascii="Times New Roman" w:hAnsi="Times New Roman" w:cs="Times New Roman"/>
        </w:rPr>
        <w:t>≤</w:t>
      </w:r>
      <w:r>
        <w:rPr>
          <w:rStyle w:val="CommentReference"/>
          <w:rFonts w:ascii="Times New Roman" w:hAnsi="Times New Roman" w:cs="Times New Roman" w:hint="eastAsia"/>
        </w:rPr>
        <w:t xml:space="preserve">10 </w:t>
      </w:r>
      <w:r>
        <w:rPr>
          <w:rStyle w:val="CommentReference"/>
          <w:rFonts w:ascii="Times New Roman" w:hAnsi="Times New Roman" w:cs="Times New Roman"/>
        </w:rPr>
        <w:t>μm</w:t>
      </w:r>
      <w:r>
        <w:rPr>
          <w:rFonts w:ascii="Times New Roman" w:hAnsi="Times New Roman" w:cs="Times New Roman"/>
          <w:szCs w:val="21"/>
        </w:rPr>
        <w:t>;</w:t>
      </w:r>
      <w:r>
        <w:rPr>
          <w:rStyle w:val="CommentReference"/>
          <w:rFonts w:ascii="Times New Roma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szCs w:val="21"/>
        </w:rPr>
        <w:t>PM</w:t>
      </w:r>
      <w:r w:rsidRPr="00087260">
        <w:rPr>
          <w:rFonts w:ascii="Times New Roman" w:eastAsia="SimSun" w:hAnsi="Times New Roman" w:cs="Times New Roman"/>
          <w:szCs w:val="21"/>
          <w:vertAlign w:val="subscript"/>
        </w:rPr>
        <w:t>10-2.5</w:t>
      </w:r>
      <w:r>
        <w:rPr>
          <w:rStyle w:val="CommentReference"/>
          <w:rFonts w:ascii="Times New Roman" w:hAnsi="Times New Roman" w:cs="Times New Roman"/>
        </w:rPr>
        <w:t>,</w:t>
      </w:r>
      <w:r>
        <w:rPr>
          <w:rStyle w:val="CommentReference"/>
          <w:rFonts w:ascii="Times New Roman" w:hAnsi="Times New Roman" w:cs="Times New Roman" w:hint="eastAsia"/>
        </w:rPr>
        <w:t xml:space="preserve"> </w:t>
      </w:r>
      <w:r w:rsidRPr="00217159">
        <w:rPr>
          <w:rFonts w:ascii="Times New Roman" w:hAnsi="Times New Roman" w:cs="Times New Roman"/>
          <w:szCs w:val="21"/>
        </w:rPr>
        <w:t>the coarse fraction of particulate matter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Style w:val="CommentReference"/>
          <w:rFonts w:ascii="Times New Roman" w:hAnsi="Times New Roman" w:cs="Times New Roman"/>
        </w:rPr>
        <w:t>PM</w:t>
      </w:r>
      <w:r>
        <w:rPr>
          <w:rStyle w:val="CommentReference"/>
          <w:rFonts w:ascii="Times New Roman" w:hAnsi="Times New Roman" w:cs="Times New Roman"/>
          <w:vertAlign w:val="subscript"/>
        </w:rPr>
        <w:t>2.5</w:t>
      </w:r>
      <w:r>
        <w:rPr>
          <w:rStyle w:val="CommentReference"/>
          <w:rFonts w:ascii="Times New Roman" w:hAnsi="Times New Roman" w:cs="Times New Roman"/>
        </w:rPr>
        <w:t>,</w:t>
      </w:r>
      <w:r>
        <w:rPr>
          <w:rStyle w:val="CommentReference"/>
          <w:rFonts w:ascii="Times New Roman" w:hAnsi="Times New Roman" w:cs="Times New Roman" w:hint="eastAsia"/>
        </w:rPr>
        <w:t xml:space="preserve"> particulate matter with aerodynamic diameter </w:t>
      </w:r>
      <w:r>
        <w:rPr>
          <w:rStyle w:val="CommentReference"/>
          <w:rFonts w:ascii="Times New Roman" w:hAnsi="Times New Roman" w:cs="Times New Roman"/>
        </w:rPr>
        <w:t>≤</w:t>
      </w:r>
      <w:r>
        <w:rPr>
          <w:rStyle w:val="CommentReference"/>
          <w:rFonts w:ascii="Times New Roman" w:hAnsi="Times New Roman" w:cs="Times New Roman" w:hint="eastAsia"/>
        </w:rPr>
        <w:t xml:space="preserve"> 2.5 </w:t>
      </w:r>
      <w:r>
        <w:rPr>
          <w:rStyle w:val="CommentReference"/>
          <w:rFonts w:ascii="Times New Roman" w:hAnsi="Times New Roman" w:cs="Times New Roman"/>
        </w:rPr>
        <w:t>μm</w:t>
      </w:r>
      <w:r>
        <w:rPr>
          <w:rFonts w:ascii="Times New Roman" w:hAnsi="Times New Roman" w:cs="Times New Roman"/>
          <w:szCs w:val="21"/>
        </w:rPr>
        <w:t>;</w:t>
      </w:r>
      <w:r>
        <w:rPr>
          <w:rStyle w:val="CommentReference"/>
          <w:rFonts w:ascii="Times New Roma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bCs/>
          <w:szCs w:val="21"/>
        </w:rPr>
        <w:t>PM</w:t>
      </w:r>
      <w:r>
        <w:rPr>
          <w:rFonts w:ascii="Times New Roman" w:eastAsia="SimSun" w:hAnsi="Times New Roman" w:cs="Times New Roman"/>
          <w:bCs/>
          <w:szCs w:val="21"/>
          <w:vertAlign w:val="subscript"/>
        </w:rPr>
        <w:t>2.5 absorbance</w:t>
      </w:r>
      <w:r>
        <w:rPr>
          <w:rFonts w:ascii="Times New Roman" w:eastAsia="SimSun" w:hAnsi="Times New Roman" w:cs="Times New Roman" w:hint="eastAsia"/>
          <w:bCs/>
          <w:szCs w:val="21"/>
        </w:rPr>
        <w:t xml:space="preserve">, </w:t>
      </w:r>
      <w:r>
        <w:rPr>
          <w:rStyle w:val="CommentReference"/>
          <w:rFonts w:ascii="Times New Roman" w:hAnsi="Times New Roman" w:cs="Times New Roman" w:hint="eastAsia"/>
        </w:rPr>
        <w:t xml:space="preserve">particulate matter with aerodynamic diameter </w:t>
      </w:r>
      <w:r>
        <w:rPr>
          <w:rStyle w:val="CommentReference"/>
          <w:rFonts w:ascii="Times New Roman" w:hAnsi="Times New Roman" w:cs="Times New Roman"/>
        </w:rPr>
        <w:t>≤</w:t>
      </w:r>
      <w:r>
        <w:rPr>
          <w:rStyle w:val="CommentReference"/>
          <w:rFonts w:ascii="Times New Roman" w:hAnsi="Times New Roman" w:cs="Times New Roman" w:hint="eastAsia"/>
        </w:rPr>
        <w:t xml:space="preserve"> 2.5 </w:t>
      </w:r>
      <w:r>
        <w:rPr>
          <w:rStyle w:val="CommentReference"/>
          <w:rFonts w:ascii="Times New Roman" w:hAnsi="Times New Roman" w:cs="Times New Roman"/>
        </w:rPr>
        <w:t>μm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eastAsia="SimSun" w:hAnsi="Times New Roman" w:cs="Times New Roman"/>
          <w:bCs/>
          <w:szCs w:val="21"/>
        </w:rPr>
        <w:t>absorbance</w:t>
      </w:r>
      <w:r>
        <w:rPr>
          <w:rFonts w:ascii="Times New Roman" w:eastAsia="SimSun" w:hAnsi="Times New Roman" w:cs="Times New Roman" w:hint="eastAsia"/>
          <w:bCs/>
          <w:szCs w:val="21"/>
        </w:rPr>
        <w:t>;</w:t>
      </w:r>
      <w:r>
        <w:rPr>
          <w:rFonts w:ascii="Times New Roman" w:eastAsia="SimSun" w:hAnsi="Times New Roman" w:cs="Times New Roman"/>
          <w:bCs/>
          <w:szCs w:val="21"/>
        </w:rPr>
        <w:t xml:space="preserve"> </w:t>
      </w:r>
      <w:r>
        <w:rPr>
          <w:rStyle w:val="CommentReference"/>
          <w:rFonts w:ascii="Times New Roman" w:hAnsi="Times New Roman" w:cs="Times New Roman"/>
        </w:rPr>
        <w:t>PM</w:t>
      </w:r>
      <w:r>
        <w:rPr>
          <w:rStyle w:val="CommentReference"/>
          <w:rFonts w:ascii="Times New Roman" w:hAnsi="Times New Roman" w:cs="Times New Roman"/>
          <w:vertAlign w:val="subscript"/>
        </w:rPr>
        <w:t>2.5-10</w:t>
      </w:r>
      <w:r>
        <w:rPr>
          <w:rStyle w:val="CommentReference"/>
          <w:rFonts w:ascii="Times New Roman" w:hAnsi="Times New Roman" w:cs="Times New Roman"/>
        </w:rPr>
        <w:t>,</w:t>
      </w:r>
      <w:r>
        <w:rPr>
          <w:rStyle w:val="CommentReference"/>
          <w:rFonts w:ascii="Times New Roman" w:hAnsi="Times New Roman" w:cs="Times New Roman" w:hint="eastAsia"/>
        </w:rPr>
        <w:t xml:space="preserve"> particulate matter with aerodynamic diameter 2.5-10 </w:t>
      </w:r>
      <w:r>
        <w:rPr>
          <w:rStyle w:val="CommentReference"/>
          <w:rFonts w:ascii="Times New Roman" w:hAnsi="Times New Roman" w:cs="Times New Roman"/>
        </w:rPr>
        <w:t>μm</w:t>
      </w:r>
      <w:r>
        <w:rPr>
          <w:rFonts w:ascii="Times New Roman" w:eastAsia="SimSun" w:hAnsi="Times New Roman" w:cs="Times New Roman" w:hint="eastAsia"/>
          <w:bCs/>
          <w:szCs w:val="21"/>
        </w:rPr>
        <w:t xml:space="preserve">. </w:t>
      </w:r>
    </w:p>
    <w:p w14:paraId="490F5224" w14:textId="77777777" w:rsidR="00C1459F" w:rsidRPr="00C1459F" w:rsidRDefault="00C1459F" w:rsidP="005F0AF4">
      <w:pPr>
        <w:rPr>
          <w:rFonts w:ascii="Times New Roman" w:eastAsia="SimSun" w:hAnsi="Times New Roman" w:cs="Times New Roman"/>
          <w:bCs/>
          <w:szCs w:val="21"/>
        </w:rPr>
      </w:pPr>
    </w:p>
    <w:p w14:paraId="5960B95B" w14:textId="18809343" w:rsidR="00CA1D61" w:rsidRDefault="005F0AF4" w:rsidP="005F0AF4"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vertAlign w:val="subscript"/>
        </w:rPr>
        <w:t xml:space="preserve">  </w:t>
      </w:r>
    </w:p>
    <w:sectPr w:rsidR="00CA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23B28" w14:textId="77777777" w:rsidR="00427BE5" w:rsidRDefault="00427BE5" w:rsidP="008109FC">
      <w:r>
        <w:separator/>
      </w:r>
    </w:p>
  </w:endnote>
  <w:endnote w:type="continuationSeparator" w:id="0">
    <w:p w14:paraId="5114CAC6" w14:textId="77777777" w:rsidR="00427BE5" w:rsidRDefault="00427BE5" w:rsidP="0081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0B3FD" w14:textId="77777777" w:rsidR="00427BE5" w:rsidRDefault="00427BE5" w:rsidP="008109FC">
      <w:r>
        <w:separator/>
      </w:r>
    </w:p>
  </w:footnote>
  <w:footnote w:type="continuationSeparator" w:id="0">
    <w:p w14:paraId="45E64A59" w14:textId="77777777" w:rsidR="00427BE5" w:rsidRDefault="00427BE5" w:rsidP="0081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46DAE6B"/>
    <w:multiLevelType w:val="singleLevel"/>
    <w:tmpl w:val="C46DAE6B"/>
    <w:lvl w:ilvl="0">
      <w:start w:val="4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F4"/>
    <w:rsid w:val="000273BC"/>
    <w:rsid w:val="000515C6"/>
    <w:rsid w:val="000651B7"/>
    <w:rsid w:val="00087260"/>
    <w:rsid w:val="000F5E32"/>
    <w:rsid w:val="001E2B42"/>
    <w:rsid w:val="001E3A69"/>
    <w:rsid w:val="002100E7"/>
    <w:rsid w:val="00217159"/>
    <w:rsid w:val="002C5461"/>
    <w:rsid w:val="00365D54"/>
    <w:rsid w:val="003A6000"/>
    <w:rsid w:val="003C6AAB"/>
    <w:rsid w:val="00427BE5"/>
    <w:rsid w:val="00436D08"/>
    <w:rsid w:val="005650DB"/>
    <w:rsid w:val="005D1C0C"/>
    <w:rsid w:val="005F0AF4"/>
    <w:rsid w:val="006F20AC"/>
    <w:rsid w:val="0076568B"/>
    <w:rsid w:val="007B4F3A"/>
    <w:rsid w:val="007F5E36"/>
    <w:rsid w:val="008109FC"/>
    <w:rsid w:val="008E1116"/>
    <w:rsid w:val="008F14F2"/>
    <w:rsid w:val="008F4E39"/>
    <w:rsid w:val="0092189B"/>
    <w:rsid w:val="009E7212"/>
    <w:rsid w:val="00A64FE4"/>
    <w:rsid w:val="00AF5C57"/>
    <w:rsid w:val="00B01D5B"/>
    <w:rsid w:val="00B413EF"/>
    <w:rsid w:val="00BF583D"/>
    <w:rsid w:val="00C1459F"/>
    <w:rsid w:val="00C329C3"/>
    <w:rsid w:val="00CA1D61"/>
    <w:rsid w:val="00CC30B7"/>
    <w:rsid w:val="00F1122A"/>
    <w:rsid w:val="00F21936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3E1BEA"/>
  <w15:chartTrackingRefBased/>
  <w15:docId w15:val="{4B77C139-D6ED-4940-B7D7-9A3BF986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F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5F0AF4"/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10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09F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0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09F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E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1238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泽</dc:creator>
  <cp:keywords/>
  <dc:description/>
  <cp:lastModifiedBy>PC6</cp:lastModifiedBy>
  <cp:revision>5</cp:revision>
  <dcterms:created xsi:type="dcterms:W3CDTF">2021-01-10T10:24:00Z</dcterms:created>
  <dcterms:modified xsi:type="dcterms:W3CDTF">2021-03-02T05:31:00Z</dcterms:modified>
</cp:coreProperties>
</file>