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B0" w:rsidRPr="00D36847" w:rsidRDefault="009071B0" w:rsidP="009071B0">
      <w:pPr>
        <w:rPr>
          <w:b/>
          <w:sz w:val="28"/>
          <w:lang w:eastAsia="zh-CN"/>
        </w:rPr>
      </w:pPr>
      <w:bookmarkStart w:id="0" w:name="_GoBack"/>
      <w:bookmarkEnd w:id="0"/>
      <w:proofErr w:type="gramStart"/>
      <w:r w:rsidRPr="00D36847">
        <w:rPr>
          <w:b/>
          <w:sz w:val="28"/>
          <w:lang w:eastAsia="zh-CN"/>
        </w:rPr>
        <w:t>Supplementary T</w:t>
      </w:r>
      <w:r w:rsidRPr="00D36847">
        <w:rPr>
          <w:rFonts w:hint="eastAsia"/>
          <w:b/>
          <w:sz w:val="28"/>
          <w:lang w:eastAsia="zh-CN"/>
        </w:rPr>
        <w:t>able 1</w:t>
      </w:r>
      <w:r>
        <w:rPr>
          <w:b/>
          <w:sz w:val="28"/>
          <w:lang w:eastAsia="zh-CN"/>
        </w:rPr>
        <w:t>.</w:t>
      </w:r>
      <w:proofErr w:type="gramEnd"/>
      <w:r w:rsidRPr="00D36847">
        <w:rPr>
          <w:rFonts w:hint="eastAsia"/>
          <w:b/>
          <w:sz w:val="28"/>
          <w:lang w:eastAsia="zh-CN"/>
        </w:rPr>
        <w:t xml:space="preserve"> </w:t>
      </w:r>
      <w:proofErr w:type="spellStart"/>
      <w:proofErr w:type="gramStart"/>
      <w:r w:rsidRPr="00D36847">
        <w:rPr>
          <w:b/>
          <w:sz w:val="28"/>
          <w:lang w:eastAsia="zh-CN"/>
        </w:rPr>
        <w:t>Clinicopathological</w:t>
      </w:r>
      <w:proofErr w:type="spellEnd"/>
      <w:r w:rsidRPr="00D36847">
        <w:rPr>
          <w:b/>
          <w:sz w:val="28"/>
          <w:lang w:eastAsia="zh-CN"/>
        </w:rPr>
        <w:t xml:space="preserve"> characteristics of </w:t>
      </w:r>
      <w:r w:rsidRPr="00D36847">
        <w:rPr>
          <w:rFonts w:hint="eastAsia"/>
          <w:b/>
          <w:sz w:val="28"/>
          <w:lang w:eastAsia="zh-CN"/>
        </w:rPr>
        <w:t>LGG</w:t>
      </w:r>
      <w:r w:rsidRPr="00D36847">
        <w:rPr>
          <w:b/>
          <w:sz w:val="28"/>
          <w:lang w:eastAsia="zh-CN"/>
        </w:rPr>
        <w:t xml:space="preserve"> patients with differential </w:t>
      </w:r>
      <w:r w:rsidRPr="00D36847">
        <w:rPr>
          <w:rFonts w:hint="eastAsia"/>
          <w:b/>
          <w:sz w:val="28"/>
          <w:lang w:eastAsia="zh-CN"/>
        </w:rPr>
        <w:t xml:space="preserve">HOXAs </w:t>
      </w:r>
      <w:r w:rsidRPr="00D36847">
        <w:rPr>
          <w:b/>
          <w:sz w:val="28"/>
          <w:lang w:eastAsia="zh-CN"/>
        </w:rPr>
        <w:t>expression.</w:t>
      </w:r>
      <w:proofErr w:type="gramEnd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62"/>
        <w:gridCol w:w="1728"/>
        <w:gridCol w:w="1728"/>
        <w:gridCol w:w="1016"/>
      </w:tblGrid>
      <w:tr w:rsidR="009071B0" w:rsidRPr="00D36847" w:rsidTr="0095569A">
        <w:trPr>
          <w:cantSplit/>
          <w:tblHeader/>
          <w:jc w:val="center"/>
        </w:trPr>
        <w:tc>
          <w:tcPr>
            <w:tcW w:w="23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Low expression of HOXA1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High expression of HOXA1</w:t>
            </w:r>
          </w:p>
        </w:tc>
        <w:tc>
          <w:tcPr>
            <w:tcW w:w="10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p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WHO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145 (31%)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79 (16.9%)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92 (19.7%)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151 (32.3%)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IDH status,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WT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10 (1.9%)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87 (16.6%)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Mut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254 (48.4%)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174 (33.1%)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1p/19q 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codeletion</w:t>
            </w:r>
            <w:proofErr w:type="spellEnd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127 (24.1%)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44 (8.3%)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non-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137 (25.9%)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220 (41.7%)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E55E0C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Age, me</w:t>
            </w:r>
            <w:r w:rsidR="00E55E0C">
              <w:rPr>
                <w:rFonts w:ascii="Arial" w:eastAsia="DejaVu Sans" w:hAnsi="DejaVu Sans" w:cs="DejaVu Sans"/>
                <w:sz w:val="18"/>
                <w:szCs w:val="18"/>
              </w:rPr>
              <w:t>d</w:t>
            </w: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ian (IQR)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39 (32, 51)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42 (32, 55)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0.117</w:t>
            </w:r>
          </w:p>
        </w:tc>
      </w:tr>
    </w:tbl>
    <w:p w:rsidR="009071B0" w:rsidRPr="00D36847" w:rsidRDefault="009071B0" w:rsidP="009071B0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62"/>
        <w:gridCol w:w="1728"/>
        <w:gridCol w:w="1728"/>
        <w:gridCol w:w="1016"/>
      </w:tblGrid>
      <w:tr w:rsidR="009071B0" w:rsidRPr="00D36847" w:rsidTr="0095569A">
        <w:trPr>
          <w:cantSplit/>
          <w:tblHeader/>
          <w:jc w:val="center"/>
        </w:trPr>
        <w:tc>
          <w:tcPr>
            <w:tcW w:w="23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Low expression of HOXA2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High expression of HOXA2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p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WHO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0.002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131 (28.1%)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93 (19.9%)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106 (22.7%)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137 (29.3%)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IDH status,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WT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17 (3.2%)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80 (15.2%)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Mut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246 (46.9%)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182 (34.7%)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1p/19q 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codeletion</w:t>
            </w:r>
            <w:proofErr w:type="spellEnd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114 (21.6%)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57 (10.8%)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non-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150 (28.4%)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207 (39.2%)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lastRenderedPageBreak/>
              <w:t xml:space="preserve">Age, </w:t>
            </w:r>
            <w:r w:rsidR="00E55E0C" w:rsidRPr="00E55E0C">
              <w:rPr>
                <w:rFonts w:ascii="Arial" w:eastAsia="DejaVu Sans" w:hAnsi="DejaVu Sans" w:cs="DejaVu Sans"/>
                <w:sz w:val="18"/>
                <w:szCs w:val="18"/>
              </w:rPr>
              <w:t>median</w:t>
            </w: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38 (31, 47.25)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44 (33, 57)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</w:tbl>
    <w:p w:rsidR="009071B0" w:rsidRPr="00D36847" w:rsidRDefault="009071B0" w:rsidP="009071B0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62"/>
        <w:gridCol w:w="1728"/>
        <w:gridCol w:w="1728"/>
        <w:gridCol w:w="1016"/>
      </w:tblGrid>
      <w:tr w:rsidR="009071B0" w:rsidRPr="00D36847" w:rsidTr="0095569A">
        <w:trPr>
          <w:cantSplit/>
          <w:tblHeader/>
          <w:jc w:val="center"/>
        </w:trPr>
        <w:tc>
          <w:tcPr>
            <w:tcW w:w="23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Low expression of HOXA3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High expression of HOXA3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p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WHO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142 (30.4%)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82 (17.6%)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97 (20.8%)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146 (31.3%)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IDH status,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WT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18 (3.4%)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79 (15%)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Mut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245 (46.7%)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183 (34.9%)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1p/19q 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codeletion</w:t>
            </w:r>
            <w:proofErr w:type="spellEnd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116 (22%)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55 (10.4%)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non-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148 (28%)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209 (39.6%)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Age, </w:t>
            </w:r>
            <w:r w:rsidR="00E55E0C" w:rsidRPr="00E55E0C">
              <w:rPr>
                <w:rFonts w:ascii="Arial" w:eastAsia="DejaVu Sans" w:hAnsi="DejaVu Sans" w:cs="DejaVu Sans"/>
                <w:sz w:val="18"/>
                <w:szCs w:val="18"/>
              </w:rPr>
              <w:t>median</w:t>
            </w: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37 (30, 48)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44 (35, 56)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</w:tbl>
    <w:p w:rsidR="009071B0" w:rsidRPr="00D36847" w:rsidRDefault="009071B0" w:rsidP="009071B0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62"/>
        <w:gridCol w:w="1728"/>
        <w:gridCol w:w="1728"/>
        <w:gridCol w:w="1016"/>
      </w:tblGrid>
      <w:tr w:rsidR="009071B0" w:rsidRPr="00D36847" w:rsidTr="0095569A">
        <w:trPr>
          <w:cantSplit/>
          <w:tblHeader/>
          <w:jc w:val="center"/>
        </w:trPr>
        <w:tc>
          <w:tcPr>
            <w:tcW w:w="23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Low expression of HOXA4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High expression of HOXA4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p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WHO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136 (29.1%)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88 (18.8%)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100 (21.4%)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143 (30.6%)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IDH status,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WT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18 (3.4%)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79 (15%)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Mut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245 (46.7%)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183 (34.9%)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1p/19q 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codeletion</w:t>
            </w:r>
            <w:proofErr w:type="spellEnd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lastRenderedPageBreak/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137 (25.9%)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34 (6.4%)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non-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127 (24.1%)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230 (43.6%)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Age, </w:t>
            </w:r>
            <w:r w:rsidR="00E55E0C" w:rsidRPr="00E55E0C">
              <w:rPr>
                <w:rFonts w:ascii="Arial" w:eastAsia="DejaVu Sans" w:hAnsi="DejaVu Sans" w:cs="DejaVu Sans"/>
                <w:sz w:val="18"/>
                <w:szCs w:val="18"/>
              </w:rPr>
              <w:t>median</w:t>
            </w: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40 (32, 51)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41 (32, 55)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0.129</w:t>
            </w:r>
          </w:p>
        </w:tc>
      </w:tr>
    </w:tbl>
    <w:p w:rsidR="009071B0" w:rsidRPr="00D36847" w:rsidRDefault="009071B0" w:rsidP="009071B0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62"/>
        <w:gridCol w:w="1728"/>
        <w:gridCol w:w="1728"/>
        <w:gridCol w:w="1016"/>
      </w:tblGrid>
      <w:tr w:rsidR="009071B0" w:rsidRPr="00D36847" w:rsidTr="0095569A">
        <w:trPr>
          <w:cantSplit/>
          <w:tblHeader/>
          <w:jc w:val="center"/>
        </w:trPr>
        <w:tc>
          <w:tcPr>
            <w:tcW w:w="23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Low expression of HOXA5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High expression of HOXA5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p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WHO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141 (30.2%)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83 (17.8%)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94 (20.1%)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149 (31.9%)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IDH status,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WT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17 (3.2%)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80 (15.2%)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Mut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246 (46.9%)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182 (34.7%)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1p/19q 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codeletion</w:t>
            </w:r>
            <w:proofErr w:type="spellEnd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132 (25%)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39 (7.4%)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non-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132 (25%)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225 (42.6%)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Age, </w:t>
            </w:r>
            <w:r w:rsidR="00E55E0C" w:rsidRPr="00E55E0C">
              <w:rPr>
                <w:rFonts w:ascii="Arial" w:eastAsia="DejaVu Sans" w:hAnsi="DejaVu Sans" w:cs="DejaVu Sans"/>
                <w:sz w:val="18"/>
                <w:szCs w:val="18"/>
              </w:rPr>
              <w:t>median</w:t>
            </w: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38 (31, 50)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43 (34, 55)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</w:tbl>
    <w:p w:rsidR="009071B0" w:rsidRPr="00D36847" w:rsidRDefault="009071B0" w:rsidP="009071B0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62"/>
        <w:gridCol w:w="1728"/>
        <w:gridCol w:w="1728"/>
        <w:gridCol w:w="1016"/>
      </w:tblGrid>
      <w:tr w:rsidR="009071B0" w:rsidRPr="00D36847" w:rsidTr="0095569A">
        <w:trPr>
          <w:cantSplit/>
          <w:tblHeader/>
          <w:jc w:val="center"/>
        </w:trPr>
        <w:tc>
          <w:tcPr>
            <w:tcW w:w="23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Low expression of HOXA7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High expression of HOXA7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p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WHO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133 (28.5%)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91 (19.5%)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100 (21.4%)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143 (30.6%)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IDH status,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WT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21 (4%)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76 (14.5%)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lastRenderedPageBreak/>
              <w:t>Mut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243 (46.3%)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185 (35.2%)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1p/19q 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codeletion</w:t>
            </w:r>
            <w:proofErr w:type="spellEnd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137 (25.9%)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34 (6.4%)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non-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127 (24.1%)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230 (43.6%)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Age, </w:t>
            </w:r>
            <w:r w:rsidR="00E55E0C" w:rsidRPr="00E55E0C">
              <w:rPr>
                <w:rFonts w:ascii="Arial" w:eastAsia="DejaVu Sans" w:hAnsi="DejaVu Sans" w:cs="DejaVu Sans"/>
                <w:sz w:val="18"/>
                <w:szCs w:val="18"/>
              </w:rPr>
              <w:t>median</w:t>
            </w: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39.5 (31, 50)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41.5 (33, 56)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0.021</w:t>
            </w:r>
          </w:p>
        </w:tc>
      </w:tr>
    </w:tbl>
    <w:p w:rsidR="009071B0" w:rsidRPr="00D36847" w:rsidRDefault="009071B0" w:rsidP="009071B0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62"/>
        <w:gridCol w:w="1728"/>
        <w:gridCol w:w="1728"/>
        <w:gridCol w:w="1016"/>
      </w:tblGrid>
      <w:tr w:rsidR="009071B0" w:rsidRPr="00D36847" w:rsidTr="0095569A">
        <w:trPr>
          <w:cantSplit/>
          <w:tblHeader/>
          <w:jc w:val="center"/>
        </w:trPr>
        <w:tc>
          <w:tcPr>
            <w:tcW w:w="23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Low expression of HOXA9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High expression of HOXA9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p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WHO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137 (29.3%)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87 (18.6%)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101 (21.6%)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142 (30.4%)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IDH status,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WT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19 (3.6%)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78 (14.9%)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Mut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243 (46.3%)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185 (35.2%)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1p/19q 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codeletion</w:t>
            </w:r>
            <w:proofErr w:type="spellEnd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127 (24.1%)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44 (8.3%)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non-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137 (25.9%)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220 (41.7%)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Age, </w:t>
            </w:r>
            <w:r w:rsidR="00E55E0C" w:rsidRPr="00E55E0C">
              <w:rPr>
                <w:rFonts w:ascii="Arial" w:eastAsia="DejaVu Sans" w:hAnsi="DejaVu Sans" w:cs="DejaVu Sans"/>
                <w:sz w:val="18"/>
                <w:szCs w:val="18"/>
              </w:rPr>
              <w:t>median</w:t>
            </w: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39 (31, 52)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43 (33, 54)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0.061</w:t>
            </w:r>
          </w:p>
        </w:tc>
      </w:tr>
    </w:tbl>
    <w:p w:rsidR="009071B0" w:rsidRPr="00D36847" w:rsidRDefault="009071B0" w:rsidP="009071B0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62"/>
        <w:gridCol w:w="1728"/>
        <w:gridCol w:w="1728"/>
        <w:gridCol w:w="1016"/>
      </w:tblGrid>
      <w:tr w:rsidR="009071B0" w:rsidRPr="00D36847" w:rsidTr="0095569A">
        <w:trPr>
          <w:cantSplit/>
          <w:tblHeader/>
          <w:jc w:val="center"/>
        </w:trPr>
        <w:tc>
          <w:tcPr>
            <w:tcW w:w="23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Low expression of HOXA10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High expression of HOXA10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p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WHO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138 (29.6%)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86 (18.4%)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95 (20.3%)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148 (31.7%)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lastRenderedPageBreak/>
              <w:t>IDH status,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WT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 (5%)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71 (13.5%)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Mut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237 (45.1%)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191 (36.4%)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1p/19q 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codeletion</w:t>
            </w:r>
            <w:proofErr w:type="spellEnd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145 (27.5%)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 (4.9%)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non-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119 (22.5%)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238 (45.1%)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Age, </w:t>
            </w:r>
            <w:r w:rsidR="00E55E0C" w:rsidRPr="00E55E0C">
              <w:rPr>
                <w:rFonts w:ascii="Arial" w:eastAsia="DejaVu Sans" w:hAnsi="DejaVu Sans" w:cs="DejaVu Sans"/>
                <w:sz w:val="18"/>
                <w:szCs w:val="18"/>
              </w:rPr>
              <w:t>median</w:t>
            </w: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39.5 (32, 50)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41 (32.75, 55)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0.093</w:t>
            </w:r>
          </w:p>
        </w:tc>
      </w:tr>
    </w:tbl>
    <w:p w:rsidR="009071B0" w:rsidRPr="00D36847" w:rsidRDefault="009071B0" w:rsidP="009071B0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62"/>
        <w:gridCol w:w="1728"/>
        <w:gridCol w:w="1728"/>
        <w:gridCol w:w="1016"/>
      </w:tblGrid>
      <w:tr w:rsidR="009071B0" w:rsidRPr="00D36847" w:rsidTr="0095569A">
        <w:trPr>
          <w:cantSplit/>
          <w:tblHeader/>
          <w:jc w:val="center"/>
        </w:trPr>
        <w:tc>
          <w:tcPr>
            <w:tcW w:w="23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Low expression of HOXA11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High expression of HOXA11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p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WHO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135 (28.9%)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89 (19.1%)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100 (21.4%)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143 (30.6%)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IDH status,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WT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30 (5.7%)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67 (12.8%)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Mut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234 (44.6%)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194 (37%)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1p/19q 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codeletion</w:t>
            </w:r>
            <w:proofErr w:type="spellEnd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153 (29%)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18 (3.4%)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non-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111 (21%)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246 (46.6%)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Age, </w:t>
            </w:r>
            <w:r w:rsidR="00E55E0C" w:rsidRPr="00E55E0C">
              <w:rPr>
                <w:rFonts w:ascii="Arial" w:eastAsia="DejaVu Sans" w:hAnsi="DejaVu Sans" w:cs="DejaVu Sans"/>
                <w:sz w:val="18"/>
                <w:szCs w:val="18"/>
              </w:rPr>
              <w:t>median</w:t>
            </w: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42 (33, 53)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39 (32, 52)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0.240</w:t>
            </w:r>
          </w:p>
        </w:tc>
      </w:tr>
    </w:tbl>
    <w:p w:rsidR="009071B0" w:rsidRPr="00D36847" w:rsidRDefault="009071B0" w:rsidP="009071B0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362"/>
        <w:gridCol w:w="1728"/>
        <w:gridCol w:w="1728"/>
        <w:gridCol w:w="1016"/>
      </w:tblGrid>
      <w:tr w:rsidR="009071B0" w:rsidRPr="00D36847" w:rsidTr="0095569A">
        <w:trPr>
          <w:cantSplit/>
          <w:tblHeader/>
          <w:jc w:val="center"/>
        </w:trPr>
        <w:tc>
          <w:tcPr>
            <w:tcW w:w="23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Characteristic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Low expression of HOXA13</w:t>
            </w:r>
          </w:p>
        </w:tc>
        <w:tc>
          <w:tcPr>
            <w:tcW w:w="17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High expression of HOXA13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p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264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WHO grade,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0.006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lastRenderedPageBreak/>
              <w:t>G2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129 (27.6%)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95 (20.3%)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G3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108 (23.1%)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135 (28.9%)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IDH status,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0.</w:t>
            </w:r>
            <w:r w:rsidRPr="00D36847">
              <w:rPr>
                <w:rFonts w:ascii="Arial" w:hAnsi="DejaVu Sans" w:cs="DejaVu Sans" w:hint="eastAsia"/>
                <w:sz w:val="18"/>
                <w:szCs w:val="18"/>
                <w:lang w:eastAsia="zh-CN"/>
              </w:rPr>
              <w:t>0</w:t>
            </w: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461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WT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45 (8.6%)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52 (9.9%)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Mut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219 (41.7%)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209 (39.8%)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1p/19q 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codeletion</w:t>
            </w:r>
            <w:proofErr w:type="spellEnd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, n (%)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&lt; 0.001</w:t>
            </w: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160 (30.3%)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11 (2.1%)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non-</w:t>
            </w:r>
            <w:proofErr w:type="spellStart"/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codel</w:t>
            </w:r>
            <w:proofErr w:type="spellEnd"/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104 (19.7%)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253 (47.9%)</w:t>
            </w:r>
          </w:p>
        </w:tc>
        <w:tc>
          <w:tcPr>
            <w:tcW w:w="10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</w:p>
        </w:tc>
      </w:tr>
      <w:tr w:rsidR="009071B0" w:rsidRPr="00D36847" w:rsidTr="0095569A">
        <w:trPr>
          <w:cantSplit/>
          <w:jc w:val="center"/>
        </w:trPr>
        <w:tc>
          <w:tcPr>
            <w:tcW w:w="23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Age, </w:t>
            </w:r>
            <w:r w:rsidR="00E55E0C" w:rsidRPr="00E55E0C">
              <w:rPr>
                <w:rFonts w:ascii="Arial" w:eastAsia="DejaVu Sans" w:hAnsi="DejaVu Sans" w:cs="DejaVu Sans"/>
                <w:sz w:val="18"/>
                <w:szCs w:val="18"/>
              </w:rPr>
              <w:t>median</w:t>
            </w: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 xml:space="preserve"> (IQR)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42 (33, 54)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39 (31, 51)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71B0" w:rsidRPr="00D36847" w:rsidRDefault="009071B0" w:rsidP="0095569A">
            <w:pPr>
              <w:spacing w:before="100" w:after="100"/>
              <w:ind w:left="100" w:right="100"/>
              <w:jc w:val="center"/>
              <w:rPr>
                <w:szCs w:val="24"/>
              </w:rPr>
            </w:pPr>
            <w:r w:rsidRPr="00D36847">
              <w:rPr>
                <w:rFonts w:ascii="Arial" w:eastAsia="DejaVu Sans" w:hAnsi="DejaVu Sans" w:cs="DejaVu Sans"/>
                <w:sz w:val="18"/>
                <w:szCs w:val="18"/>
              </w:rPr>
              <w:t>0.039</w:t>
            </w:r>
          </w:p>
        </w:tc>
      </w:tr>
    </w:tbl>
    <w:p w:rsidR="009071B0" w:rsidRPr="00D36847" w:rsidRDefault="009071B0" w:rsidP="009071B0">
      <w:pPr>
        <w:spacing w:line="360" w:lineRule="auto"/>
        <w:rPr>
          <w:lang w:eastAsia="zh-CN"/>
        </w:rPr>
      </w:pPr>
    </w:p>
    <w:sectPr w:rsidR="009071B0" w:rsidRPr="00D36847" w:rsidSect="00E55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B0" w:rsidRDefault="003C61B0">
      <w:pPr>
        <w:spacing w:after="0" w:line="240" w:lineRule="auto"/>
      </w:pPr>
      <w:r>
        <w:separator/>
      </w:r>
    </w:p>
  </w:endnote>
  <w:endnote w:type="continuationSeparator" w:id="0">
    <w:p w:rsidR="003C61B0" w:rsidRDefault="003C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41" w:rsidRPr="00577C4C" w:rsidRDefault="009071B0">
    <w:pPr>
      <w:pStyle w:val="Footer"/>
      <w:rPr>
        <w:color w:val="C00000"/>
        <w:szCs w:val="24"/>
      </w:rPr>
    </w:pPr>
    <w:r w:rsidRPr="00577C4C">
      <w:rPr>
        <w:noProof/>
        <w:color w:val="C00000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4277F7" wp14:editId="0101041E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5141" w:rsidRPr="00E9561B" w:rsidRDefault="009071B0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" stroked="f">
              <v:textbox style="mso-fit-shape-to-text:t">
                <w:txbxContent>
                  <w:p w:rsidR="00015141" w:rsidRPr="00E9561B" w:rsidRDefault="009071B0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07AE05" wp14:editId="04ABB55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15141" w:rsidRPr="00577C4C" w:rsidRDefault="009071B0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DC3818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40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MjG5lo1AgAAZg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015141" w:rsidRPr="00577C4C" w:rsidRDefault="009071B0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DC3818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40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41" w:rsidRPr="00577C4C" w:rsidRDefault="009071B0" w:rsidP="00282022">
    <w:pPr>
      <w:pStyle w:val="Footer"/>
      <w:tabs>
        <w:tab w:val="clear" w:pos="4844"/>
        <w:tab w:val="clear" w:pos="9689"/>
        <w:tab w:val="center" w:pos="4888"/>
      </w:tabs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94A99" wp14:editId="5E8FAC4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15141" w:rsidRPr="00577C4C" w:rsidRDefault="009071B0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55E0C" w:rsidRPr="00E55E0C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Jp40gM4AgAAaA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:rsidR="00015141" w:rsidRPr="00577C4C" w:rsidRDefault="009071B0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55E0C" w:rsidRPr="00E55E0C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b/>
        <w:sz w:val="20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B0" w:rsidRDefault="003C61B0">
      <w:pPr>
        <w:spacing w:after="0" w:line="240" w:lineRule="auto"/>
      </w:pPr>
      <w:r>
        <w:separator/>
      </w:r>
    </w:p>
  </w:footnote>
  <w:footnote w:type="continuationSeparator" w:id="0">
    <w:p w:rsidR="003C61B0" w:rsidRDefault="003C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41" w:rsidRPr="00282022" w:rsidRDefault="009071B0" w:rsidP="00A53000">
    <w:pPr>
      <w:pStyle w:val="Header"/>
      <w:rPr>
        <w:color w:val="FF0000"/>
        <w:u w:val="single"/>
        <w:lang w:eastAsia="zh-CN"/>
      </w:rPr>
    </w:pPr>
    <w:r w:rsidRPr="007E3148">
      <w:ptab w:relativeTo="margin" w:alignment="center" w:leader="none"/>
    </w:r>
    <w:r w:rsidRPr="007E3148"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41" w:rsidRPr="00A53000" w:rsidRDefault="009071B0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41" w:rsidRDefault="009071B0" w:rsidP="00A53000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9F"/>
    <w:rsid w:val="0016003D"/>
    <w:rsid w:val="001E2DF8"/>
    <w:rsid w:val="003C61B0"/>
    <w:rsid w:val="00457037"/>
    <w:rsid w:val="00506D9F"/>
    <w:rsid w:val="00566AF1"/>
    <w:rsid w:val="00760768"/>
    <w:rsid w:val="00761676"/>
    <w:rsid w:val="007A025F"/>
    <w:rsid w:val="009071B0"/>
    <w:rsid w:val="009544D0"/>
    <w:rsid w:val="009920BD"/>
    <w:rsid w:val="00CB399B"/>
    <w:rsid w:val="00CB59FB"/>
    <w:rsid w:val="00E55E0C"/>
    <w:rsid w:val="00FC5B71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1B0"/>
    <w:pPr>
      <w:tabs>
        <w:tab w:val="center" w:pos="4844"/>
        <w:tab w:val="right" w:pos="9689"/>
      </w:tabs>
      <w:spacing w:before="120" w:after="240" w:line="240" w:lineRule="auto"/>
    </w:pPr>
    <w:rPr>
      <w:rFonts w:ascii="Times New Roman" w:eastAsiaTheme="minorEastAsia" w:hAnsi="Times New Roman"/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071B0"/>
    <w:rPr>
      <w:rFonts w:ascii="Times New Roman" w:eastAsiaTheme="minorEastAsia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9071B0"/>
    <w:pPr>
      <w:tabs>
        <w:tab w:val="center" w:pos="4844"/>
        <w:tab w:val="right" w:pos="9689"/>
      </w:tabs>
      <w:spacing w:before="120" w:after="0" w:line="240" w:lineRule="auto"/>
    </w:pPr>
    <w:rPr>
      <w:rFonts w:ascii="Times New Roman" w:eastAsiaTheme="minorEastAsia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071B0"/>
    <w:rPr>
      <w:rFonts w:ascii="Times New Roman" w:eastAsiaTheme="minorEastAsia" w:hAnsi="Times New Roman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907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1B0"/>
    <w:pPr>
      <w:tabs>
        <w:tab w:val="center" w:pos="4844"/>
        <w:tab w:val="right" w:pos="9689"/>
      </w:tabs>
      <w:spacing w:before="120" w:after="240" w:line="240" w:lineRule="auto"/>
    </w:pPr>
    <w:rPr>
      <w:rFonts w:ascii="Times New Roman" w:eastAsiaTheme="minorEastAsia" w:hAnsi="Times New Roman"/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071B0"/>
    <w:rPr>
      <w:rFonts w:ascii="Times New Roman" w:eastAsiaTheme="minorEastAsia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9071B0"/>
    <w:pPr>
      <w:tabs>
        <w:tab w:val="center" w:pos="4844"/>
        <w:tab w:val="right" w:pos="9689"/>
      </w:tabs>
      <w:spacing w:before="120" w:after="0" w:line="240" w:lineRule="auto"/>
    </w:pPr>
    <w:rPr>
      <w:rFonts w:ascii="Times New Roman" w:eastAsiaTheme="minorEastAsia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071B0"/>
    <w:rPr>
      <w:rFonts w:ascii="Times New Roman" w:eastAsiaTheme="minorEastAsia" w:hAnsi="Times New Roman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90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2022-03-22T06:37:00Z</dcterms:created>
  <dcterms:modified xsi:type="dcterms:W3CDTF">2022-03-25T04:03:00Z</dcterms:modified>
</cp:coreProperties>
</file>