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9FDF7" w14:textId="77777777" w:rsidR="00E8717E" w:rsidRPr="004D735C" w:rsidRDefault="00E8717E" w:rsidP="00E8717E">
      <w:pPr>
        <w:pStyle w:val="AGTABCaption"/>
      </w:pPr>
      <w:r w:rsidRPr="004D735C">
        <w:t xml:space="preserve">Supplementary Table 5. Agency for </w:t>
      </w:r>
      <w:r>
        <w:t>h</w:t>
      </w:r>
      <w:r w:rsidRPr="004D735C">
        <w:t xml:space="preserve">ealthcare </w:t>
      </w:r>
      <w:r>
        <w:t>r</w:t>
      </w:r>
      <w:r w:rsidRPr="004D735C">
        <w:t xml:space="preserve">esearch and </w:t>
      </w:r>
      <w:r>
        <w:t>q</w:t>
      </w:r>
      <w:r w:rsidRPr="004D735C">
        <w:t>uality (AHRQ) criteria for assessing the quality of cross‐sectional studies in meta-analysis.</w:t>
      </w:r>
    </w:p>
    <w:tbl>
      <w:tblPr>
        <w:tblW w:w="16588" w:type="dxa"/>
        <w:tblLook w:val="04A0" w:firstRow="1" w:lastRow="0" w:firstColumn="1" w:lastColumn="0" w:noHBand="0" w:noVBand="1"/>
      </w:tblPr>
      <w:tblGrid>
        <w:gridCol w:w="2749"/>
        <w:gridCol w:w="656"/>
        <w:gridCol w:w="1136"/>
        <w:gridCol w:w="1157"/>
        <w:gridCol w:w="1047"/>
        <w:gridCol w:w="1156"/>
        <w:gridCol w:w="1147"/>
        <w:gridCol w:w="1386"/>
        <w:gridCol w:w="997"/>
        <w:gridCol w:w="1177"/>
        <w:gridCol w:w="1052"/>
        <w:gridCol w:w="1226"/>
        <w:gridCol w:w="1056"/>
        <w:gridCol w:w="646"/>
      </w:tblGrid>
      <w:tr w:rsidR="00E32F70" w:rsidRPr="00E32F70" w14:paraId="34A20A7B" w14:textId="77777777" w:rsidTr="001A135C">
        <w:trPr>
          <w:trHeight w:val="2925"/>
        </w:trPr>
        <w:tc>
          <w:tcPr>
            <w:tcW w:w="274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86A58E" w14:textId="77777777" w:rsidR="00E32F70" w:rsidRPr="00E32F70" w:rsidRDefault="00E32F70" w:rsidP="00E32F7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32F7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Study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8A0E88" w14:textId="77777777" w:rsidR="00E32F70" w:rsidRPr="00E32F70" w:rsidRDefault="00E32F70" w:rsidP="00E32F7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32F7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Year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5C37FF" w14:textId="77777777" w:rsidR="00E32F70" w:rsidRPr="00E32F70" w:rsidRDefault="00E32F70" w:rsidP="00E32F7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32F7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Define the source of information (survey, record review)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DCFB23" w14:textId="77777777" w:rsidR="00E32F70" w:rsidRPr="00E32F70" w:rsidRDefault="00E32F70" w:rsidP="00E32F7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32F7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List inclusion and exclusion criteria for exposed and unexposed subjects (cases and controls) or refer to previous publications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B752F" w14:textId="77777777" w:rsidR="00E32F70" w:rsidRPr="00E32F70" w:rsidRDefault="00E32F70" w:rsidP="00E32F7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32F7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Indicate time period used for identifying patients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EB757F" w14:textId="77777777" w:rsidR="00E32F70" w:rsidRPr="00E32F70" w:rsidRDefault="00E32F70" w:rsidP="00E32F7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32F7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Indicate whether or not subjects were </w:t>
            </w:r>
            <w:proofErr w:type="spellStart"/>
            <w:r w:rsidRPr="00E32F7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consectutive</w:t>
            </w:r>
            <w:proofErr w:type="spellEnd"/>
            <w:r w:rsidRPr="00E32F7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if not population-based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0778C8" w14:textId="77777777" w:rsidR="00E32F70" w:rsidRPr="00E32F70" w:rsidRDefault="00E32F70" w:rsidP="00E32F7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32F7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Indicate if evaluators of subjective components of study were masked to other aspects of the status of the participants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B15D01" w14:textId="77777777" w:rsidR="00E32F70" w:rsidRPr="00E32F70" w:rsidRDefault="00E32F70" w:rsidP="00E32F7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E32F7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Describle</w:t>
            </w:r>
            <w:proofErr w:type="spellEnd"/>
            <w:r w:rsidRPr="00E32F7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any assessments undertaken for quality assurance purposes (e.g., test/retest of primary outcome measurements)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49F316" w14:textId="77777777" w:rsidR="00E32F70" w:rsidRPr="00E32F70" w:rsidRDefault="00E32F70" w:rsidP="00E32F7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32F7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Explain any patient exclusions from analysis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F796C" w14:textId="77777777" w:rsidR="00E32F70" w:rsidRPr="00E32F70" w:rsidRDefault="00E32F70" w:rsidP="00E32F7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E32F7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Describle</w:t>
            </w:r>
            <w:proofErr w:type="spellEnd"/>
            <w:r w:rsidRPr="00E32F7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how confounding was assessed and/or controlled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1E353" w14:textId="77777777" w:rsidR="00E32F70" w:rsidRPr="00E32F70" w:rsidRDefault="00E32F70" w:rsidP="00E32F7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32F7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If applicable, explain how missing data were handled in the analysis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DABEBE" w14:textId="77777777" w:rsidR="00E32F70" w:rsidRPr="00E32F70" w:rsidRDefault="00E32F70" w:rsidP="00E32F7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32F7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Summarize patient response rates and completeness of data collection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465D3" w14:textId="77777777" w:rsidR="00E32F70" w:rsidRPr="00E32F70" w:rsidRDefault="00E32F70" w:rsidP="00E32F7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32F7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Clarify what follow-up, if any, was expected and the percentage of patients for which incomplete data of follow-up was obtained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533196" w14:textId="77777777" w:rsidR="00E32F70" w:rsidRPr="00E32F70" w:rsidRDefault="00E32F70" w:rsidP="00E32F7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E32F7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Score</w:t>
            </w:r>
          </w:p>
        </w:tc>
      </w:tr>
      <w:tr w:rsidR="00E32F70" w:rsidRPr="00E32F70" w14:paraId="734F1ACF" w14:textId="77777777" w:rsidTr="001A135C">
        <w:trPr>
          <w:trHeight w:val="278"/>
        </w:trPr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D2FF" w14:textId="04E7B341" w:rsidR="00E32F70" w:rsidRPr="00E32F70" w:rsidRDefault="00E32F70" w:rsidP="00E32F7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Maria Camila Suarez Arbelaez</w:t>
            </w:r>
            <w:r w:rsidR="000F3862" w:rsidRPr="000F3862">
              <w:rPr>
                <w:rFonts w:ascii="Times New Roman" w:hAnsi="Times New Roman" w:cs="Times New Roman"/>
                <w:sz w:val="22"/>
              </w:rPr>
              <w:t>[1]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50F7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BC6B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208D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91BC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A69F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0CFC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F6B1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A14C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8E8B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2B3C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8B3B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3D50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E89A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E32F70" w:rsidRPr="00E32F70" w14:paraId="51000D77" w14:textId="77777777" w:rsidTr="001A135C">
        <w:trPr>
          <w:trHeight w:val="278"/>
        </w:trPr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6040" w14:textId="62E3CD28" w:rsidR="00E32F70" w:rsidRPr="00E32F70" w:rsidRDefault="00E32F70" w:rsidP="00E32F7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Chin-Hsiao Tseng</w:t>
            </w:r>
            <w:r w:rsidR="000F3862" w:rsidRPr="000F3862">
              <w:rPr>
                <w:rFonts w:ascii="Times New Roman" w:hAnsi="Times New Roman" w:cs="Times New Roman"/>
                <w:sz w:val="22"/>
              </w:rPr>
              <w:t>[2]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4433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4746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0DBE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E62D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1002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F763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88EE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BE86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C6AB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3323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9536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2E1A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9475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E32F70" w:rsidRPr="00E32F70" w14:paraId="7798E178" w14:textId="77777777" w:rsidTr="001A135C">
        <w:trPr>
          <w:trHeight w:val="278"/>
        </w:trPr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7A95" w14:textId="49634BE6" w:rsidR="00E32F70" w:rsidRPr="00E32F70" w:rsidRDefault="00E32F70" w:rsidP="00E32F7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Chaoyang Li</w:t>
            </w:r>
            <w:r w:rsidR="000F3862" w:rsidRPr="000F3862">
              <w:rPr>
                <w:rFonts w:ascii="Times New Roman" w:hAnsi="Times New Roman" w:cs="Times New Roman"/>
                <w:sz w:val="22"/>
              </w:rPr>
              <w:t>[3]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4C44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B7FF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B608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4F9B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F382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81FD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B6DA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B145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895E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CB2A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F94D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E027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288F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E32F70" w:rsidRPr="00E32F70" w14:paraId="1962143B" w14:textId="77777777" w:rsidTr="001A135C">
        <w:trPr>
          <w:trHeight w:val="278"/>
        </w:trPr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AB89" w14:textId="1102E505" w:rsidR="00E32F70" w:rsidRPr="00E32F70" w:rsidRDefault="00E32F70" w:rsidP="00E32F7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Cuiping</w:t>
            </w:r>
            <w:proofErr w:type="spellEnd"/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Bao</w:t>
            </w:r>
            <w:r w:rsidR="000F3862" w:rsidRPr="000F3862">
              <w:rPr>
                <w:rFonts w:ascii="Times New Roman" w:hAnsi="Times New Roman" w:cs="Times New Roman"/>
                <w:sz w:val="22"/>
              </w:rPr>
              <w:t>[4]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72D3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CA24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977B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F957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4629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7EA4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3B36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5418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EF83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69C6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D46E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5168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EDA2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E32F70" w:rsidRPr="00E32F70" w14:paraId="33E1D229" w14:textId="77777777" w:rsidTr="001A135C">
        <w:trPr>
          <w:trHeight w:val="278"/>
        </w:trPr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CDA2" w14:textId="5B4FDBD0" w:rsidR="00E32F70" w:rsidRPr="00E32F70" w:rsidRDefault="00E32F70" w:rsidP="00E32F7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Lourdes </w:t>
            </w:r>
            <w:proofErr w:type="spellStart"/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Guerrios</w:t>
            </w:r>
            <w:proofErr w:type="spellEnd"/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-Rivera</w:t>
            </w:r>
            <w:r w:rsidR="000F3862" w:rsidRPr="000F3862">
              <w:rPr>
                <w:rFonts w:ascii="Times New Roman" w:hAnsi="Times New Roman" w:cs="Times New Roman"/>
                <w:sz w:val="22"/>
              </w:rPr>
              <w:t>[5]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B483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FEAC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FAB5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ACB9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0D2D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3444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E208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11C5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6346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2A75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7C8F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5150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6253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E32F70" w:rsidRPr="00E32F70" w14:paraId="38DF4C5B" w14:textId="77777777" w:rsidTr="001A135C">
        <w:trPr>
          <w:trHeight w:val="285"/>
        </w:trPr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837B9" w14:textId="3D254091" w:rsidR="00E32F70" w:rsidRPr="00E32F70" w:rsidRDefault="000F3862" w:rsidP="00E32F7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0F3862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N. J.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E32F70"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Karlin</w:t>
            </w:r>
            <w:r w:rsidRPr="000F3862">
              <w:rPr>
                <w:rFonts w:ascii="Times New Roman" w:hAnsi="Times New Roman" w:cs="Times New Roman"/>
                <w:sz w:val="22"/>
              </w:rPr>
              <w:t>[6]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EA353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C8F61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5491E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2C54F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8577E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156EA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01630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01EB5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6D57A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88D5A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37BFB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80E33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56EFA" w14:textId="77777777" w:rsidR="00E32F70" w:rsidRPr="00E32F70" w:rsidRDefault="00E32F70" w:rsidP="00E32F7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32F7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</w:tbl>
    <w:p w14:paraId="7C74CCA4" w14:textId="266CB48B" w:rsidR="000F3862" w:rsidRDefault="000F3862"/>
    <w:p w14:paraId="2559D56F" w14:textId="2B7E7DB7" w:rsidR="000F3862" w:rsidRPr="000F3862" w:rsidRDefault="000F3862" w:rsidP="000F3862">
      <w:pPr>
        <w:pStyle w:val="Bibliography"/>
        <w:rPr>
          <w:rFonts w:ascii="DengXian" w:eastAsia="DengXian" w:hAnsi="DengXian"/>
        </w:rPr>
      </w:pPr>
      <w:r w:rsidRPr="000F3862">
        <w:rPr>
          <w:rFonts w:ascii="DengXian" w:eastAsia="DengXian" w:hAnsi="DengXian"/>
        </w:rPr>
        <w:t>[1]</w:t>
      </w:r>
      <w:r w:rsidRPr="000F3862">
        <w:rPr>
          <w:rFonts w:ascii="DengXian" w:eastAsia="DengXian" w:hAnsi="DengXian"/>
        </w:rPr>
        <w:tab/>
        <w:t xml:space="preserve">M. C. Suarez Arbelaez </w:t>
      </w:r>
      <w:r w:rsidRPr="000F3862">
        <w:rPr>
          <w:rFonts w:ascii="DengXian" w:eastAsia="DengXian" w:hAnsi="DengXian"/>
          <w:i/>
          <w:iCs/>
        </w:rPr>
        <w:t>et al.</w:t>
      </w:r>
      <w:r w:rsidRPr="000F3862">
        <w:rPr>
          <w:rFonts w:ascii="DengXian" w:eastAsia="DengXian" w:hAnsi="DengXian"/>
        </w:rPr>
        <w:t xml:space="preserve">, “Association between body mass index, metabolic syndrome and common urologic conditions: a cross-sectional study using a large multi-institutional database from the United States,” </w:t>
      </w:r>
      <w:r w:rsidRPr="000F3862">
        <w:rPr>
          <w:rFonts w:ascii="DengXian" w:eastAsia="DengXian" w:hAnsi="DengXian"/>
          <w:i/>
          <w:iCs/>
        </w:rPr>
        <w:t>Ann Med</w:t>
      </w:r>
      <w:r w:rsidRPr="000F3862">
        <w:rPr>
          <w:rFonts w:ascii="DengXian" w:eastAsia="DengXian" w:hAnsi="DengXian"/>
        </w:rPr>
        <w:t>, vol. 55, no. 1, p. 2197293, Dec. 2023, doi: 10.1080/07853890.2023.2197293.</w:t>
      </w:r>
    </w:p>
    <w:p w14:paraId="025DD227" w14:textId="77777777" w:rsidR="000F3862" w:rsidRPr="000F3862" w:rsidRDefault="000F3862" w:rsidP="000F3862">
      <w:pPr>
        <w:pStyle w:val="Bibliography"/>
        <w:rPr>
          <w:rFonts w:ascii="DengXian" w:eastAsia="DengXian" w:hAnsi="DengXian"/>
        </w:rPr>
      </w:pPr>
      <w:r w:rsidRPr="000F3862">
        <w:rPr>
          <w:rFonts w:ascii="DengXian" w:eastAsia="DengXian" w:hAnsi="DengXian"/>
        </w:rPr>
        <w:t>[2]</w:t>
      </w:r>
      <w:r w:rsidRPr="000F3862">
        <w:rPr>
          <w:rFonts w:ascii="DengXian" w:eastAsia="DengXian" w:hAnsi="DengXian"/>
        </w:rPr>
        <w:tab/>
        <w:t xml:space="preserve">C.-H. Tseng, “Diabetes and risk of prostate cancer: a study using the National Health Insurance,” </w:t>
      </w:r>
      <w:r w:rsidRPr="000F3862">
        <w:rPr>
          <w:rFonts w:ascii="DengXian" w:eastAsia="DengXian" w:hAnsi="DengXian"/>
          <w:i/>
          <w:iCs/>
        </w:rPr>
        <w:t>Diabetes Care</w:t>
      </w:r>
      <w:r w:rsidRPr="000F3862">
        <w:rPr>
          <w:rFonts w:ascii="DengXian" w:eastAsia="DengXian" w:hAnsi="DengXian"/>
        </w:rPr>
        <w:t>, vol. 34, no. 3, pp. 616–621, Mar. 2011, doi: 10.2337/dc10-1640.</w:t>
      </w:r>
    </w:p>
    <w:p w14:paraId="6453E471" w14:textId="77777777" w:rsidR="000F3862" w:rsidRPr="000F3862" w:rsidRDefault="000F3862" w:rsidP="000F3862">
      <w:pPr>
        <w:pStyle w:val="Bibliography"/>
        <w:rPr>
          <w:rFonts w:ascii="DengXian" w:eastAsia="DengXian" w:hAnsi="DengXian"/>
        </w:rPr>
      </w:pPr>
      <w:r w:rsidRPr="000F3862">
        <w:rPr>
          <w:rFonts w:ascii="DengXian" w:eastAsia="DengXian" w:hAnsi="DengXian"/>
        </w:rPr>
        <w:t>[3]</w:t>
      </w:r>
      <w:r w:rsidRPr="000F3862">
        <w:rPr>
          <w:rFonts w:ascii="DengXian" w:eastAsia="DengXian" w:hAnsi="DengXian"/>
        </w:rPr>
        <w:tab/>
        <w:t xml:space="preserve">C. Li, L. S. Balluz, E. S. Ford, C. A. Okoro, J. Tsai, and G. Zhao, “Association between diagnosed diabetes and self-reported cancer among U.S. adults: findings from the 2009 Behavioral Risk Factor Surveillance System,” </w:t>
      </w:r>
      <w:r w:rsidRPr="000F3862">
        <w:rPr>
          <w:rFonts w:ascii="DengXian" w:eastAsia="DengXian" w:hAnsi="DengXian"/>
          <w:i/>
          <w:iCs/>
        </w:rPr>
        <w:t>Diabetes Care</w:t>
      </w:r>
      <w:r w:rsidRPr="000F3862">
        <w:rPr>
          <w:rFonts w:ascii="DengXian" w:eastAsia="DengXian" w:hAnsi="DengXian"/>
        </w:rPr>
        <w:t>, vol. 34, no. 6, pp. 1365–1368, Jun. 2011, doi: 10.2337/dc11-0020.</w:t>
      </w:r>
    </w:p>
    <w:p w14:paraId="016FA314" w14:textId="77777777" w:rsidR="000F3862" w:rsidRPr="000F3862" w:rsidRDefault="000F3862" w:rsidP="000F3862">
      <w:pPr>
        <w:pStyle w:val="Bibliography"/>
        <w:rPr>
          <w:rFonts w:ascii="DengXian" w:eastAsia="DengXian" w:hAnsi="DengXian"/>
        </w:rPr>
      </w:pPr>
      <w:r w:rsidRPr="000F3862">
        <w:rPr>
          <w:rFonts w:ascii="DengXian" w:eastAsia="DengXian" w:hAnsi="DengXian"/>
        </w:rPr>
        <w:t>[4]</w:t>
      </w:r>
      <w:r w:rsidRPr="000F3862">
        <w:rPr>
          <w:rFonts w:ascii="DengXian" w:eastAsia="DengXian" w:hAnsi="DengXian"/>
        </w:rPr>
        <w:tab/>
        <w:t xml:space="preserve">C. Bao </w:t>
      </w:r>
      <w:r w:rsidRPr="000F3862">
        <w:rPr>
          <w:rFonts w:ascii="DengXian" w:eastAsia="DengXian" w:hAnsi="DengXian"/>
          <w:i/>
          <w:iCs/>
        </w:rPr>
        <w:t>et al.</w:t>
      </w:r>
      <w:r w:rsidRPr="000F3862">
        <w:rPr>
          <w:rFonts w:ascii="DengXian" w:eastAsia="DengXian" w:hAnsi="DengXian"/>
        </w:rPr>
        <w:t xml:space="preserve">, “Diabetes in midlife and risk of cancer in late life: A nationwide Swedish twin study,” </w:t>
      </w:r>
      <w:r w:rsidRPr="000F3862">
        <w:rPr>
          <w:rFonts w:ascii="DengXian" w:eastAsia="DengXian" w:hAnsi="DengXian"/>
          <w:i/>
          <w:iCs/>
        </w:rPr>
        <w:t>Int J Cancer</w:t>
      </w:r>
      <w:r w:rsidRPr="000F3862">
        <w:rPr>
          <w:rFonts w:ascii="DengXian" w:eastAsia="DengXian" w:hAnsi="DengXian"/>
        </w:rPr>
        <w:t>, vol. 143, no. 4, pp. 793–800, Aug. 2018, doi: 10.1002/ijc.31365.</w:t>
      </w:r>
    </w:p>
    <w:p w14:paraId="32CFE4CC" w14:textId="77777777" w:rsidR="000F3862" w:rsidRPr="000F3862" w:rsidRDefault="000F3862" w:rsidP="000F3862">
      <w:pPr>
        <w:pStyle w:val="Bibliography"/>
        <w:rPr>
          <w:rFonts w:ascii="DengXian" w:eastAsia="DengXian" w:hAnsi="DengXian"/>
        </w:rPr>
      </w:pPr>
      <w:r w:rsidRPr="000F3862">
        <w:rPr>
          <w:rFonts w:ascii="DengXian" w:eastAsia="DengXian" w:hAnsi="DengXian"/>
        </w:rPr>
        <w:t>[5]</w:t>
      </w:r>
      <w:r w:rsidRPr="000F3862">
        <w:rPr>
          <w:rFonts w:ascii="DengXian" w:eastAsia="DengXian" w:hAnsi="DengXian"/>
        </w:rPr>
        <w:tab/>
        <w:t xml:space="preserve">L. Guerrios-Rivera </w:t>
      </w:r>
      <w:r w:rsidRPr="000F3862">
        <w:rPr>
          <w:rFonts w:ascii="DengXian" w:eastAsia="DengXian" w:hAnsi="DengXian"/>
          <w:i/>
          <w:iCs/>
        </w:rPr>
        <w:t>et al.</w:t>
      </w:r>
      <w:r w:rsidRPr="000F3862">
        <w:rPr>
          <w:rFonts w:ascii="DengXian" w:eastAsia="DengXian" w:hAnsi="DengXian"/>
        </w:rPr>
        <w:t xml:space="preserve">, “Metabolic syndrome is associated with aggressive prostate cancer regardless of race,” </w:t>
      </w:r>
      <w:r w:rsidRPr="000F3862">
        <w:rPr>
          <w:rFonts w:ascii="DengXian" w:eastAsia="DengXian" w:hAnsi="DengXian"/>
          <w:i/>
          <w:iCs/>
        </w:rPr>
        <w:t>Cancer Causes Control</w:t>
      </w:r>
      <w:r w:rsidRPr="000F3862">
        <w:rPr>
          <w:rFonts w:ascii="DengXian" w:eastAsia="DengXian" w:hAnsi="DengXian"/>
        </w:rPr>
        <w:t>, vol. 34, no. 3, pp. 213–221, Mar. 2023, doi: 10.1007/s10552-022-01649-9.</w:t>
      </w:r>
    </w:p>
    <w:p w14:paraId="6C89383B" w14:textId="77777777" w:rsidR="000F3862" w:rsidRPr="000F3862" w:rsidRDefault="000F3862" w:rsidP="000F3862">
      <w:pPr>
        <w:pStyle w:val="Bibliography"/>
        <w:rPr>
          <w:rFonts w:ascii="DengXian" w:eastAsia="DengXian" w:hAnsi="DengXian"/>
        </w:rPr>
      </w:pPr>
      <w:r w:rsidRPr="000F3862">
        <w:rPr>
          <w:rFonts w:ascii="DengXian" w:eastAsia="DengXian" w:hAnsi="DengXian"/>
        </w:rPr>
        <w:t>[6]</w:t>
      </w:r>
      <w:r w:rsidRPr="000F3862">
        <w:rPr>
          <w:rFonts w:ascii="DengXian" w:eastAsia="DengXian" w:hAnsi="DengXian"/>
        </w:rPr>
        <w:tab/>
        <w:t xml:space="preserve">N. J. Karlin, H. E. Kosiorek, P. M. Verona, K. E. Coppola, and C. B. Cook, “Cancer, diabetes, survival and glycemic control: a large multisite analysis,” </w:t>
      </w:r>
      <w:r w:rsidRPr="000F3862">
        <w:rPr>
          <w:rFonts w:ascii="DengXian" w:eastAsia="DengXian" w:hAnsi="DengXian"/>
          <w:i/>
          <w:iCs/>
        </w:rPr>
        <w:t>Future Sci OA</w:t>
      </w:r>
      <w:r w:rsidRPr="000F3862">
        <w:rPr>
          <w:rFonts w:ascii="DengXian" w:eastAsia="DengXian" w:hAnsi="DengXian"/>
        </w:rPr>
        <w:t>, vol. 8, no. 9, p. FSO820, Oct. 2022, doi: 10.2144/fsoa-2022-0018.</w:t>
      </w:r>
    </w:p>
    <w:p w14:paraId="1DBDFE18" w14:textId="3D060870" w:rsidR="007E09B8" w:rsidRDefault="007E09B8"/>
    <w:sectPr w:rsidR="007E09B8" w:rsidSect="00395365">
      <w:pgSz w:w="20636" w:h="14570" w:orient="landscape" w:code="12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69336" w14:textId="77777777" w:rsidR="00395365" w:rsidRDefault="00395365" w:rsidP="00E32F70">
      <w:r>
        <w:separator/>
      </w:r>
    </w:p>
  </w:endnote>
  <w:endnote w:type="continuationSeparator" w:id="0">
    <w:p w14:paraId="433F0EB3" w14:textId="77777777" w:rsidR="00395365" w:rsidRDefault="00395365" w:rsidP="00E3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395E9" w14:textId="77777777" w:rsidR="00395365" w:rsidRDefault="00395365" w:rsidP="00E32F70">
      <w:r>
        <w:separator/>
      </w:r>
    </w:p>
  </w:footnote>
  <w:footnote w:type="continuationSeparator" w:id="0">
    <w:p w14:paraId="69D05115" w14:textId="77777777" w:rsidR="00395365" w:rsidRDefault="00395365" w:rsidP="00E32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8B"/>
    <w:rsid w:val="0000470E"/>
    <w:rsid w:val="000F3862"/>
    <w:rsid w:val="001A135C"/>
    <w:rsid w:val="00395365"/>
    <w:rsid w:val="003D2AFC"/>
    <w:rsid w:val="004B247F"/>
    <w:rsid w:val="007E09B8"/>
    <w:rsid w:val="008D11B4"/>
    <w:rsid w:val="009D4906"/>
    <w:rsid w:val="009D7487"/>
    <w:rsid w:val="00D255F6"/>
    <w:rsid w:val="00DB328B"/>
    <w:rsid w:val="00E32F70"/>
    <w:rsid w:val="00E8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88A74"/>
  <w15:chartTrackingRefBased/>
  <w15:docId w15:val="{CB043202-110E-4CAC-AD81-3AD6C64F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F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32F7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32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32F70"/>
    <w:rPr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0F3862"/>
    <w:pPr>
      <w:tabs>
        <w:tab w:val="left" w:pos="384"/>
      </w:tabs>
      <w:ind w:left="384" w:hanging="384"/>
    </w:pPr>
  </w:style>
  <w:style w:type="paragraph" w:customStyle="1" w:styleId="AGTABCaption">
    <w:name w:val="AG_TAB_Caption"/>
    <w:basedOn w:val="Normal"/>
    <w:qFormat/>
    <w:rsid w:val="00E8717E"/>
    <w:pPr>
      <w:spacing w:after="120"/>
    </w:pPr>
    <w:rPr>
      <w:rFonts w:ascii="Calibri" w:eastAsia="Times New Roman" w:hAnsi="Calibri" w:cs="Times New Roman"/>
      <w:b/>
      <w:color w:val="231F20"/>
      <w:kern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0050851F-A46E-48E1-BD78-FDD6A727A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 Ye</dc:creator>
  <cp:keywords/>
  <dc:description/>
  <cp:lastModifiedBy>Comp</cp:lastModifiedBy>
  <cp:revision>7</cp:revision>
  <dcterms:created xsi:type="dcterms:W3CDTF">2023-10-27T03:40:00Z</dcterms:created>
  <dcterms:modified xsi:type="dcterms:W3CDTF">2024-04-30T09:55:00Z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zotero-version="6.0.30"&gt;&lt;session id="4mNCnNwj"/&gt;&lt;style id="http://www.zotero.org/styles/ieee" locale="en-US" hasBibliography="1" bibliographyStyleHasBeenSet="1"/&gt;&lt;prefs&gt;&lt;pref name="fieldType" value="Field"/&gt;&lt;/prefs&gt;&lt;/data&gt;</vt:lpwstr>
  </property>
</Properties>
</file>