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7475" w14:textId="77777777" w:rsidR="00F803A2" w:rsidRPr="00C65381" w:rsidRDefault="00F803A2" w:rsidP="00F803A2">
      <w:pPr>
        <w:pStyle w:val="AGTABCaption"/>
        <w:rPr>
          <w:color w:val="auto"/>
        </w:rPr>
      </w:pPr>
      <w:r w:rsidRPr="00C65381">
        <w:rPr>
          <w:bCs/>
          <w:color w:val="auto"/>
        </w:rPr>
        <w:t xml:space="preserve">Supplementary Table </w:t>
      </w:r>
      <w:r>
        <w:rPr>
          <w:bCs/>
          <w:color w:val="auto"/>
        </w:rPr>
        <w:t>7</w:t>
      </w:r>
      <w:r w:rsidRPr="00C65381">
        <w:rPr>
          <w:bCs/>
          <w:color w:val="auto"/>
        </w:rPr>
        <w:t xml:space="preserve">. Top five enriched pathways in each functional cluster </w:t>
      </w:r>
      <w:proofErr w:type="gramStart"/>
      <w:r w:rsidRPr="00C65381">
        <w:rPr>
          <w:bCs/>
          <w:color w:val="auto"/>
        </w:rPr>
        <w:t>identified</w:t>
      </w:r>
      <w:proofErr w:type="gramEnd"/>
      <w:r w:rsidRPr="00C65381">
        <w:rPr>
          <w:bCs/>
          <w:color w:val="auto"/>
        </w:rPr>
        <w:t xml:space="preserve"> by STRING analysis.</w:t>
      </w:r>
    </w:p>
    <w:tbl>
      <w:tblPr>
        <w:tblW w:w="146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0"/>
        <w:gridCol w:w="1500"/>
        <w:gridCol w:w="1500"/>
        <w:gridCol w:w="1660"/>
        <w:gridCol w:w="6000"/>
        <w:gridCol w:w="1200"/>
        <w:gridCol w:w="1080"/>
      </w:tblGrid>
      <w:tr w:rsidR="00597C62" w:rsidRPr="00597C62" w14:paraId="3DC14A68" w14:textId="77777777" w:rsidTr="00597C62">
        <w:trPr>
          <w:trHeight w:val="300"/>
        </w:trPr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3E95F83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Comparison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B0202ED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Expression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7370BDF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Cluster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5CF58AE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#Term ID</w:t>
            </w:r>
          </w:p>
        </w:tc>
        <w:tc>
          <w:tcPr>
            <w:tcW w:w="6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E89EFEA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Term description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CC5C2A4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Gene count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C8F73A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FDR</w:t>
            </w:r>
          </w:p>
        </w:tc>
      </w:tr>
      <w:tr w:rsidR="00597C62" w:rsidRPr="00597C62" w14:paraId="125B2FD5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0458F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Young → middle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94742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Upregulate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F6D51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Cluster 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19B0F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HSA-168256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6781A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Immune system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A3545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A57E7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0.0059</w:t>
            </w:r>
          </w:p>
        </w:tc>
      </w:tr>
      <w:tr w:rsidR="00597C62" w:rsidRPr="00597C62" w14:paraId="0C73426B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6BC0B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8DEA4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221F4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D6874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HSA-1474244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D09AE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Extracellular matrix organization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8FC07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96BA4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0.0399</w:t>
            </w:r>
          </w:p>
        </w:tc>
      </w:tr>
      <w:tr w:rsidR="00597C62" w:rsidRPr="00597C62" w14:paraId="38962441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7B7CF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3537B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67E96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2FF5C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HSA-168249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B2F1C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Innate immune system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B11FA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D5E43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0.0399</w:t>
            </w:r>
          </w:p>
        </w:tc>
      </w:tr>
      <w:tr w:rsidR="00597C62" w:rsidRPr="00597C62" w14:paraId="264B7747" w14:textId="77777777" w:rsidTr="00597C62">
        <w:trPr>
          <w:trHeight w:val="6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9AB60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072F0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66523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2C49B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HSA-381426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D66CB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Regulation of insulin-like growth factor (IGF) transport and uptake by Insulin-like growth factor binding proteins (IGFBPs)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D5695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F6DFD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0.0399</w:t>
            </w:r>
          </w:p>
        </w:tc>
      </w:tr>
      <w:tr w:rsidR="00597C62" w:rsidRPr="00597C62" w14:paraId="5975DC8C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B95A4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188CEA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E2F320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961839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HSA-8957275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2C1774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Post-translational protein phosphorylation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8C8153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4A323C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0.0399</w:t>
            </w:r>
          </w:p>
        </w:tc>
      </w:tr>
      <w:tr w:rsidR="00597C62" w:rsidRPr="00597C62" w14:paraId="75ADFE02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ABBE8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76CF9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Downregulate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C876A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Cluster 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3CA1F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HSA-69278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DCE38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Cell cycle, mitotic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D14B6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03FD7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2.63E-20</w:t>
            </w:r>
          </w:p>
        </w:tc>
      </w:tr>
      <w:tr w:rsidR="00597C62" w:rsidRPr="00597C62" w14:paraId="2C3D5E50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689F0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695BA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ADCBB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2DBD0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HSA-68886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760ED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M phase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E3DF0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AF1DC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7.78E-10</w:t>
            </w:r>
          </w:p>
        </w:tc>
      </w:tr>
      <w:tr w:rsidR="00597C62" w:rsidRPr="00597C62" w14:paraId="05358247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7F14A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06FA3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78C31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14AF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HSA-68882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85219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Mitotic anaphase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2385D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912DD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1.37E-09</w:t>
            </w:r>
          </w:p>
        </w:tc>
      </w:tr>
      <w:tr w:rsidR="00597C62" w:rsidRPr="00597C62" w14:paraId="61994F45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39709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62BC9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A66B6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2F96F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HSA-2467813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7EAB5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Separation of sister chromatids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3EB1C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F6458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3.65E-09</w:t>
            </w:r>
          </w:p>
        </w:tc>
      </w:tr>
      <w:tr w:rsidR="00597C62" w:rsidRPr="00597C62" w14:paraId="6E3646D4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2F8F6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5C89D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3E014F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C4F81D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HSA-2500257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6F1DCB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Resolution of sister chromatid cohesion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D6C37F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16B54E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9.68E-08</w:t>
            </w:r>
          </w:p>
        </w:tc>
      </w:tr>
      <w:tr w:rsidR="00597C62" w:rsidRPr="00597C62" w14:paraId="2B78A231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81686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4CE8B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4AFB8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Cluster 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5FE30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HSA-8953854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530D5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Metabolism of RNA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F3A76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2ADF6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5.15E-09</w:t>
            </w:r>
          </w:p>
        </w:tc>
      </w:tr>
      <w:tr w:rsidR="00597C62" w:rsidRPr="00597C62" w14:paraId="34BF2187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2F3F6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60D1D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20F31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D95CD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HSA-6791226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8D2DC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Major pathway of rRNA processing in the nucleolus and cytosol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DFF4A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78AA9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0.0000504</w:t>
            </w:r>
          </w:p>
        </w:tc>
      </w:tr>
      <w:tr w:rsidR="00597C62" w:rsidRPr="00597C62" w14:paraId="47B6A8A2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6115C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4BDAF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D8C16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3F399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HSA-156827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4F29F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L13a-mediated translational silencing of ceruloplasmin expression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CA6E2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B263D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0.0000686</w:t>
            </w:r>
          </w:p>
        </w:tc>
      </w:tr>
      <w:tr w:rsidR="00597C62" w:rsidRPr="00597C62" w14:paraId="46E48850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02AB7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37C7A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B57E6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7C489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HSA-72706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B752B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GTP hydrolysis and joining of the 60S ribosomal subunit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AAB58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C2357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0.0000686</w:t>
            </w:r>
          </w:p>
        </w:tc>
      </w:tr>
      <w:tr w:rsidR="00597C62" w:rsidRPr="00597C62" w14:paraId="47BF5DB7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E3862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5E0D6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1F7EC2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4EAC9E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HSA-9754678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4128ED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SARS-CoV-2 modulates host translation machinery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CBEBEE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26EF83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0.0000832</w:t>
            </w:r>
          </w:p>
        </w:tc>
      </w:tr>
      <w:tr w:rsidR="00597C62" w:rsidRPr="00597C62" w14:paraId="77CD065C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7B0941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1EB8EF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A99D1D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Cluster 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FD37C7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WP5055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51A9C1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Burn wound healing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EA3080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535ABD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0.0298</w:t>
            </w:r>
          </w:p>
        </w:tc>
      </w:tr>
      <w:tr w:rsidR="00597C62" w:rsidRPr="00597C62" w14:paraId="63538C51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9E173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Middle → old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AAD27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Upregulate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89BB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Cluster 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DBF99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HSA-1640170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C234D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Cell cycle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32F32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64C21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2.35E-18</w:t>
            </w:r>
          </w:p>
        </w:tc>
      </w:tr>
      <w:tr w:rsidR="00597C62" w:rsidRPr="00597C62" w14:paraId="699FC7F7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AF9B6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A7F60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571EB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041BB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HSA-69278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65211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Cell cycle, mitotic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71350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CECA8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2.35E-18</w:t>
            </w:r>
          </w:p>
        </w:tc>
      </w:tr>
      <w:tr w:rsidR="00597C62" w:rsidRPr="00597C62" w14:paraId="2C3431D9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72DF7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B3166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2F9A3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FA50E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HSA-69620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BBE76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Cell cycle checkpoints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68D6F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CA99F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1.75E-13</w:t>
            </w:r>
          </w:p>
        </w:tc>
      </w:tr>
      <w:tr w:rsidR="00597C62" w:rsidRPr="00597C62" w14:paraId="4F99BDE0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919B0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B5633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68D29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2454D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HSA-68886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94F33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M phase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02228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B2F13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5.59E-09</w:t>
            </w:r>
          </w:p>
        </w:tc>
      </w:tr>
      <w:tr w:rsidR="00597C62" w:rsidRPr="00597C62" w14:paraId="7F8C3024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60946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EA688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F7A306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35DB12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HSA-2500257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221CB9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Resolution of sister chromatid cohesion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B4E796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251B11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5.95E-09</w:t>
            </w:r>
          </w:p>
        </w:tc>
      </w:tr>
      <w:tr w:rsidR="00597C62" w:rsidRPr="00597C62" w14:paraId="0462B705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FD488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93E33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3E75E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Cluster 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FEDDE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HSA-913531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54CFF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Interferon signaling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7831E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DDD61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7.91E-34</w:t>
            </w:r>
          </w:p>
        </w:tc>
      </w:tr>
      <w:tr w:rsidR="00597C62" w:rsidRPr="00597C62" w14:paraId="60489868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3FA21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FB07C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25F7D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5FB1B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HSA-909733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EF33B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Interferon alpha/beta signaling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5EFA9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7D5FA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9.83E-27</w:t>
            </w:r>
          </w:p>
        </w:tc>
      </w:tr>
      <w:tr w:rsidR="00597C62" w:rsidRPr="00597C62" w14:paraId="7A1F95D7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BBDA6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76A69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A2793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CD552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HSA-1280215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076FE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Cytokine signaling in immune system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1BDB3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7442F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1.29E-26</w:t>
            </w:r>
          </w:p>
        </w:tc>
      </w:tr>
      <w:tr w:rsidR="00597C62" w:rsidRPr="00597C62" w14:paraId="550A25F6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43FFC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76929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A0FBA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A377F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HSA-168256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FF6AD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Immune system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72848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13F67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2.39E-20</w:t>
            </w:r>
          </w:p>
        </w:tc>
      </w:tr>
      <w:tr w:rsidR="00597C62" w:rsidRPr="00597C62" w14:paraId="575F9A5F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F3C84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147E1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4F57DB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EA5F0C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HSA-1169410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4D3E2E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Antiviral mechanism by IFN-stimulated genes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5736FD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E55E4E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5.49E-17</w:t>
            </w:r>
          </w:p>
        </w:tc>
      </w:tr>
      <w:tr w:rsidR="00597C62" w:rsidRPr="00597C62" w14:paraId="155994C2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205A9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FD207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921C5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Cluster 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16A7D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HSA-1474244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F3B23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Extracellular matrix organization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CA61F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DEF7E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4.84E-07</w:t>
            </w:r>
          </w:p>
        </w:tc>
      </w:tr>
      <w:tr w:rsidR="00597C62" w:rsidRPr="00597C62" w14:paraId="458CB6D5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CA41B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05A2F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05D4B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7E423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HSA-6785807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7CDAE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Interleukin-4 and interleukin-13 signaling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A8A8B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1B369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0.0000142</w:t>
            </w:r>
          </w:p>
        </w:tc>
      </w:tr>
      <w:tr w:rsidR="00597C62" w:rsidRPr="00597C62" w14:paraId="3CBBCF3C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EF49A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A8F02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D427A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C1ABD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HSA-75205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A8506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Dissolution of fibrin clot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E1224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ADC8C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0.0000592</w:t>
            </w:r>
          </w:p>
        </w:tc>
      </w:tr>
      <w:tr w:rsidR="00597C62" w:rsidRPr="00597C62" w14:paraId="7FBF7247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A0BB0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F1F13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80853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42BB4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HSA-449147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D39CF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Signaling by interleukins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F947D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05FFF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0.0000942</w:t>
            </w:r>
          </w:p>
        </w:tc>
      </w:tr>
      <w:tr w:rsidR="00597C62" w:rsidRPr="00597C62" w14:paraId="1018CEC7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01A48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4D2C2D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A4831B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466499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HSA-109582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8E077E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Hemostasis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C2324F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10C9C2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0.00012</w:t>
            </w:r>
          </w:p>
        </w:tc>
      </w:tr>
      <w:tr w:rsidR="00597C62" w:rsidRPr="00597C62" w14:paraId="74D6E6EF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15DB8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522E0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Downregulate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7CCB4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Cluster 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513CB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HSA-156842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53CFE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Eukaryotic translation elongation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1CBD8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5E2B4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5.58E-80</w:t>
            </w:r>
          </w:p>
        </w:tc>
      </w:tr>
      <w:tr w:rsidR="00597C62" w:rsidRPr="00597C62" w14:paraId="0E3D849F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64CF7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3A088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26489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7C185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HSA-72766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7FEC8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Translation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6150D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257C2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4.17E-79</w:t>
            </w:r>
          </w:p>
        </w:tc>
      </w:tr>
      <w:tr w:rsidR="00597C62" w:rsidRPr="00597C62" w14:paraId="3A01E5A5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584C0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2B468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FE0E3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3158B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HSA-156902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E4E5D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Peptide chain elongation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10999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9F4D2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1.86E-76</w:t>
            </w:r>
          </w:p>
        </w:tc>
      </w:tr>
      <w:tr w:rsidR="00597C62" w:rsidRPr="00597C62" w14:paraId="7C2415BA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3BE1C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129D6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EE5B7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F5156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HSA-156827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BFF807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L13a-mediated translational silencing of ceruloplasmin expression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B0FB1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5D7CA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4.36E-73</w:t>
            </w:r>
          </w:p>
        </w:tc>
      </w:tr>
      <w:tr w:rsidR="00597C62" w:rsidRPr="00597C62" w14:paraId="5C6C6316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28D5D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5E7F3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3033D6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417B6D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HSA-1799339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28C09E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SRP-dependent </w:t>
            </w:r>
            <w:proofErr w:type="spellStart"/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cotranslational</w:t>
            </w:r>
            <w:proofErr w:type="spellEnd"/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 protein targeting to membrane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7233D5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3B4253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4.36E-73</w:t>
            </w:r>
          </w:p>
        </w:tc>
      </w:tr>
      <w:tr w:rsidR="00597C62" w:rsidRPr="00597C62" w14:paraId="4B667445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22346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01DEE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903B7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Cluster 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902533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HSA-194315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FE555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Signaling by Rho GTPases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D8C26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67655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0.00029</w:t>
            </w:r>
          </w:p>
        </w:tc>
      </w:tr>
      <w:tr w:rsidR="00597C62" w:rsidRPr="00597C62" w14:paraId="15C0095C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7494B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38E00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B61FB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A94B3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HSA-446353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791E9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Cell-extracellular matrix interactions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56D4A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E7AF6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0.00029</w:t>
            </w:r>
          </w:p>
        </w:tc>
      </w:tr>
      <w:tr w:rsidR="00597C62" w:rsidRPr="00597C62" w14:paraId="6C3F3026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3C7AC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FBC44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6720B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1EBC8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HSA-9012999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F450D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RHO GTPase cycle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8E50D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8220E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0.00029</w:t>
            </w:r>
          </w:p>
        </w:tc>
      </w:tr>
      <w:tr w:rsidR="00597C62" w:rsidRPr="00597C62" w14:paraId="4A443BB2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7236E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71618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7561B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F3D46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HSA-9664422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E7CD2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FCGR3A-mediated phagocytosis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76EAF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E2D15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0.00029</w:t>
            </w:r>
          </w:p>
        </w:tc>
      </w:tr>
      <w:tr w:rsidR="00597C62" w:rsidRPr="00597C62" w14:paraId="0C0AF588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2F6ED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7C515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106815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75C2F9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HSA-2029480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C5A006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Fcgamma</w:t>
            </w:r>
            <w:proofErr w:type="spellEnd"/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 receptor (FCGR) dependent phagocytosis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98F0A7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5514C7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0.00046</w:t>
            </w:r>
          </w:p>
        </w:tc>
      </w:tr>
      <w:tr w:rsidR="00597C62" w:rsidRPr="00597C62" w14:paraId="0C07EF09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A10B7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FF9B3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B0ADE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Cluster 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C9B05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HSA-8852276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40DBF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The role of GTSE1 in G2/M progression after G2 checkpoint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026D6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EC066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7.44E-07</w:t>
            </w:r>
          </w:p>
        </w:tc>
      </w:tr>
      <w:tr w:rsidR="00597C62" w:rsidRPr="00597C62" w14:paraId="2DDAF991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9E7EA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2C5F7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152ED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6F86F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HSA-69275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585D9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G2/M transition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CD9A3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5E2CF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7.22E-06</w:t>
            </w:r>
          </w:p>
        </w:tc>
      </w:tr>
      <w:tr w:rsidR="00597C62" w:rsidRPr="00597C62" w14:paraId="58447588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4F0DD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9292D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D637D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E7877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HSA-168256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06710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Immune system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EB7FE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54351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8.32E-06</w:t>
            </w:r>
          </w:p>
        </w:tc>
      </w:tr>
      <w:tr w:rsidR="00597C62" w:rsidRPr="00597C62" w14:paraId="2BEF5E5A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DCD07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F7198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584D9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64E40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HSA-2262752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4C9C9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Cellular responses to stress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E0A60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0BCFF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9.07E-06</w:t>
            </w:r>
          </w:p>
        </w:tc>
      </w:tr>
      <w:tr w:rsidR="00597C62" w:rsidRPr="00597C62" w14:paraId="53174E19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0362C3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F091EE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1B2F0D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E8EC87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HSA-449147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C6B29D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Signaling by interleukins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BEF406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A44C7D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0.0000875</w:t>
            </w:r>
          </w:p>
        </w:tc>
      </w:tr>
      <w:tr w:rsidR="00597C62" w:rsidRPr="00597C62" w14:paraId="442A1594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BE422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Young → old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BB808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Upregulate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FCFEB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Cluster 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82904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HSA-162582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A2C3B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Signal transduction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FD2F6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D0734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1.66E-14</w:t>
            </w:r>
          </w:p>
        </w:tc>
      </w:tr>
      <w:tr w:rsidR="00597C62" w:rsidRPr="00597C62" w14:paraId="71D720F4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AB7BE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7B9DB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1EB7D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3E7AA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HSA-1474244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B22A6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Extracellular matrix organization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D157F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E5EC8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1.98E-13</w:t>
            </w:r>
          </w:p>
        </w:tc>
      </w:tr>
      <w:tr w:rsidR="00597C62" w:rsidRPr="00597C62" w14:paraId="646A0AF0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82C0C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EA87D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2C556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94CE2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HSA-109582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74F60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Hemostasis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CBE1D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626C4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6.27E-10</w:t>
            </w:r>
          </w:p>
        </w:tc>
      </w:tr>
      <w:tr w:rsidR="00597C62" w:rsidRPr="00597C62" w14:paraId="455F07B3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27BF1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9B5D3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1415C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53ADF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HSA-9006931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02552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Signaling by nuclear receptors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4B05B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E4662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6.27E-10</w:t>
            </w:r>
          </w:p>
        </w:tc>
      </w:tr>
      <w:tr w:rsidR="00597C62" w:rsidRPr="00597C62" w14:paraId="0B93849F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73FA8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203DF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2B54CE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615806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HSA-2559583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7ABB52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Cellular senescence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70E3CD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DFECFD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1.11E-09</w:t>
            </w:r>
          </w:p>
        </w:tc>
      </w:tr>
      <w:tr w:rsidR="00597C62" w:rsidRPr="00597C62" w14:paraId="7134DEEC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39204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57D84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D1787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Cluster 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C896E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HSA-1430728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136AC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Metabolism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B4C1C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3B008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2.32E-17</w:t>
            </w:r>
          </w:p>
        </w:tc>
      </w:tr>
      <w:tr w:rsidR="00597C62" w:rsidRPr="00597C62" w14:paraId="7F1434CB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8F089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06CE5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E5EB7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45DEF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HSA-211859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4704B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Biological oxidations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14B83F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D4245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1.79E-10</w:t>
            </w:r>
          </w:p>
        </w:tc>
      </w:tr>
      <w:tr w:rsidR="00597C62" w:rsidRPr="00597C62" w14:paraId="66A57DF3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A46E2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E1EBF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E6CA4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A8E98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HSA-556833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D2DD8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Metabolism of lipids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47C08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6FA19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1.79E-10</w:t>
            </w:r>
          </w:p>
        </w:tc>
      </w:tr>
      <w:tr w:rsidR="00597C62" w:rsidRPr="00597C62" w14:paraId="465ADEB3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DD08E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6CC66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C45CA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E1CF8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HSA-8978868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A0D9E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Fatty acid metabolism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930BB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F479C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1.07E-09</w:t>
            </w:r>
          </w:p>
        </w:tc>
      </w:tr>
      <w:tr w:rsidR="00597C62" w:rsidRPr="00597C62" w14:paraId="77A9AFB4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E4741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0545D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D16620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47BA83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HSA-156590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CAE1BF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Glutathione conjugation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433208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E33660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6.15E-09</w:t>
            </w:r>
          </w:p>
        </w:tc>
      </w:tr>
      <w:tr w:rsidR="00597C62" w:rsidRPr="00597C62" w14:paraId="12BB7990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67A63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1F451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6A4C9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Cluster 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C994C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HSA-556833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1D021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Metabolism of lipids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A3B75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7DD8E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1.72E-18</w:t>
            </w:r>
          </w:p>
        </w:tc>
      </w:tr>
      <w:tr w:rsidR="00597C62" w:rsidRPr="00597C62" w14:paraId="18E3DE19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34F39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3033D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02A93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E4D80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HSA-1430728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00A56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Metabolism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928C2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D7811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9.08E-16</w:t>
            </w:r>
          </w:p>
        </w:tc>
      </w:tr>
      <w:tr w:rsidR="00597C62" w:rsidRPr="00597C62" w14:paraId="650CEB1D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C2837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FBC97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2DB61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6C8A4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HSA-428157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C2274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Sphingolipid metabolism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2B081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A2227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7.44E-13</w:t>
            </w:r>
          </w:p>
        </w:tc>
      </w:tr>
      <w:tr w:rsidR="00597C62" w:rsidRPr="00597C62" w14:paraId="20C50771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4932C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EDE72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87EA0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E9758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HSA-1660661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0CEEF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Sphingolipid de novo biosynthesis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F50A2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53E54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6.83E-11</w:t>
            </w:r>
          </w:p>
        </w:tc>
      </w:tr>
      <w:tr w:rsidR="00597C62" w:rsidRPr="00597C62" w14:paraId="17262590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B353F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67865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75919C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5FDC20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HSA-1483206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8C71EB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Glycerophospholipid biosynthesis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FB2A5A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947A56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7.1E-10</w:t>
            </w:r>
          </w:p>
        </w:tc>
      </w:tr>
      <w:tr w:rsidR="00597C62" w:rsidRPr="00597C62" w14:paraId="132EF5E2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BC394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ADC70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755BB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Cluster 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0C4C0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HSA-556833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8A463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Metabolism of lipids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72B00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99251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1.72E-18</w:t>
            </w:r>
          </w:p>
        </w:tc>
      </w:tr>
      <w:tr w:rsidR="00597C62" w:rsidRPr="00597C62" w14:paraId="5B337518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BAB62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A7EA1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8D0E3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26B9C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HSA-1430728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6FCAA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Metabolism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7DA0E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50BD2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9.08E-16</w:t>
            </w:r>
          </w:p>
        </w:tc>
      </w:tr>
      <w:tr w:rsidR="00597C62" w:rsidRPr="00597C62" w14:paraId="30C297F3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FF2A8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D082C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F6477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DF2F5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HSA-428157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E9704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Sphingolipid metabolism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45197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ADF3A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7.44E-13</w:t>
            </w:r>
          </w:p>
        </w:tc>
      </w:tr>
      <w:tr w:rsidR="00597C62" w:rsidRPr="00597C62" w14:paraId="0DC3E4DF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C23FD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D6B29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50452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3A45E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HSA-1660661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5772C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Sphingolipid de novo biosynthesis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9C8B2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53C36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6.83E-11</w:t>
            </w:r>
          </w:p>
        </w:tc>
      </w:tr>
      <w:tr w:rsidR="00597C62" w:rsidRPr="00597C62" w14:paraId="209C7997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FFF3A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F2118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858B6E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42E284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HSA-1483206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F8967B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Glycerophospholipid biosynthesis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B1ACD2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3FE0B7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7.1E-10</w:t>
            </w:r>
          </w:p>
        </w:tc>
      </w:tr>
      <w:tr w:rsidR="00597C62" w:rsidRPr="00597C62" w14:paraId="7B091294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156AB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6BC88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B8227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Cluster 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CD65A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HSA-532668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81FC7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N-glycan trimming in the ER and calnexin/calreticulin cycle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7CA1E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1BCEA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8.39E-12</w:t>
            </w:r>
          </w:p>
        </w:tc>
      </w:tr>
      <w:tr w:rsidR="00597C62" w:rsidRPr="00597C62" w14:paraId="54156535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AB319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59F52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DF372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10A0C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HSA-446203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B3997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Asparagine N-linked glycosylation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D176A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83B3D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2.8E-09</w:t>
            </w:r>
          </w:p>
        </w:tc>
      </w:tr>
      <w:tr w:rsidR="00597C62" w:rsidRPr="00597C62" w14:paraId="62BEF673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8781F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51D3F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FC783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5CD52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HSA-901042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2AFBD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Calnexin/calreticulin cycle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C9D2E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6DE67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9.99E-06</w:t>
            </w:r>
          </w:p>
        </w:tc>
      </w:tr>
      <w:tr w:rsidR="00597C62" w:rsidRPr="00597C62" w14:paraId="741369CC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17C3B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7D732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78B5A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9F501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HSA-597592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90434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Post-translational protein modification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2F463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966E55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0.0000515</w:t>
            </w:r>
          </w:p>
        </w:tc>
      </w:tr>
      <w:tr w:rsidR="00597C62" w:rsidRPr="00597C62" w14:paraId="4B3B868F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EBCC9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2D204B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3CBCB4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202EF6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HSA-392499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B69106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Metabolism of proteins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E65E1C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B5243A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0.0000576</w:t>
            </w:r>
          </w:p>
        </w:tc>
      </w:tr>
      <w:tr w:rsidR="00597C62" w:rsidRPr="00597C62" w14:paraId="14AF90BE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5EC59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8E85A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Downregulate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68C41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Cluster 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F5EFF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HSA-72766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C3E1F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Translation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7EACC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79582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1.59E-140</w:t>
            </w:r>
          </w:p>
        </w:tc>
      </w:tr>
      <w:tr w:rsidR="00597C62" w:rsidRPr="00597C62" w14:paraId="781AED24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08DCF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D0E4C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A5A1F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008F1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HSA-156842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3C970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Eukaryotic translation elongation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396E4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0946D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4.28E-125</w:t>
            </w:r>
          </w:p>
        </w:tc>
      </w:tr>
      <w:tr w:rsidR="00597C62" w:rsidRPr="00597C62" w14:paraId="5E027727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86C39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CA126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EEB80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D45EB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HSA-156902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03FF6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Peptide chain elongation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26FF3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D7DDE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6.49E-120</w:t>
            </w:r>
          </w:p>
        </w:tc>
      </w:tr>
      <w:tr w:rsidR="00597C62" w:rsidRPr="00597C62" w14:paraId="2E4FA1FC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1F447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50ADB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E3CD6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0D04F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HSA-72689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4361F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Formation of a pool of free 40S subunits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D31C9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B9C80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3.86E-119</w:t>
            </w:r>
          </w:p>
        </w:tc>
      </w:tr>
      <w:tr w:rsidR="00597C62" w:rsidRPr="00597C62" w14:paraId="38ABAAAC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5FEF6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308F8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4BF7A0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676D53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HSA-156827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D9C579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L13a-mediated translational silencing of ceruloplasmin expression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796EE7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A05363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5.29E-119</w:t>
            </w:r>
          </w:p>
        </w:tc>
      </w:tr>
      <w:tr w:rsidR="00597C62" w:rsidRPr="00597C62" w14:paraId="213BF50F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F5AAF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6A904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ED632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Cluster 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C0A8A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HSA-195258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D29D2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RHO GTPase effectors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A4763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18299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1.31E-07</w:t>
            </w:r>
          </w:p>
        </w:tc>
      </w:tr>
      <w:tr w:rsidR="00597C62" w:rsidRPr="00597C62" w14:paraId="5B450CDA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5133F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026B6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9F140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91BFD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HSA-422475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37693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Axon guidance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8D20D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EFEE3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1.31E-07</w:t>
            </w:r>
          </w:p>
        </w:tc>
      </w:tr>
      <w:tr w:rsidR="00597C62" w:rsidRPr="00597C62" w14:paraId="6593B90A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ADE7E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62C56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FD1A9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B18E2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HSA-5663213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683CD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RHO GTPases activate WASPs and WAVEs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AFFF4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9FB20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1.31E-07</w:t>
            </w:r>
          </w:p>
        </w:tc>
      </w:tr>
      <w:tr w:rsidR="00597C62" w:rsidRPr="00597C62" w14:paraId="14CCA1E6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E9A3C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FE3B5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F96F5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F06AD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HSA-2682334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FF43C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EPH-ephrin signaling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99662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B1FB8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1.42E-07</w:t>
            </w:r>
          </w:p>
        </w:tc>
      </w:tr>
      <w:tr w:rsidR="00597C62" w:rsidRPr="00597C62" w14:paraId="7912BEAE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BB60C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39466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D0BCB5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E459AC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HSA-446353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51073B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Cell-extracellular matrix interactions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8F43EA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2D4DEA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1.42E-07</w:t>
            </w:r>
          </w:p>
        </w:tc>
      </w:tr>
      <w:tr w:rsidR="00597C62" w:rsidRPr="00597C62" w14:paraId="500A1B38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A0DA6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A7DA2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29203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Cluster 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82EC4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HSA-389957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6FF74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Prefoldin mediated transfer of substrate to CCT/</w:t>
            </w:r>
            <w:proofErr w:type="spellStart"/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TriC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2CE59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2F190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1.57E-11</w:t>
            </w:r>
          </w:p>
        </w:tc>
      </w:tr>
      <w:tr w:rsidR="00597C62" w:rsidRPr="00597C62" w14:paraId="402F3E16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32191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B7293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71C09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B6CAC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HSA-389960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4CF6F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Formation of tubulin folding intermediates by CCT/</w:t>
            </w:r>
            <w:proofErr w:type="spellStart"/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TriC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36C412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CABFF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1.57E-11</w:t>
            </w:r>
          </w:p>
        </w:tc>
      </w:tr>
      <w:tr w:rsidR="00597C62" w:rsidRPr="00597C62" w14:paraId="71F39ABA" w14:textId="77777777" w:rsidTr="00597C62">
        <w:trPr>
          <w:trHeight w:val="6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DB3C5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68E57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F9086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83441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HSA-3371497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977B4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HSP90 chaperone cycle for steroid hormone receptors (SHR) in the presence of ligand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22947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6706C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4.38E-08</w:t>
            </w:r>
          </w:p>
        </w:tc>
      </w:tr>
      <w:tr w:rsidR="00597C62" w:rsidRPr="00597C62" w14:paraId="5135455A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3B3F4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B5E26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7AEB9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6BDA9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HSA-5617833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6B6B0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Cilium assembly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B63EA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4EA18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4.38E-08</w:t>
            </w:r>
          </w:p>
        </w:tc>
      </w:tr>
      <w:tr w:rsidR="00597C62" w:rsidRPr="00597C62" w14:paraId="0A5CE478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2751A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30D08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57DAA6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6BFE20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HSA-1643685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00FA14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Disease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868CB0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CFF0FC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6.42E-07</w:t>
            </w:r>
          </w:p>
        </w:tc>
      </w:tr>
      <w:tr w:rsidR="00597C62" w:rsidRPr="00597C62" w14:paraId="79671D05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58FCF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AC539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D116C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Cluster 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21D6D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HSA-1428517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F931F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The citric acid (TCA) cycle and respiratory electron transport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BF2C5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D1ABA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5.91E-30</w:t>
            </w:r>
          </w:p>
        </w:tc>
      </w:tr>
      <w:tr w:rsidR="00597C62" w:rsidRPr="00597C62" w14:paraId="538BD096" w14:textId="77777777" w:rsidTr="00597C62">
        <w:trPr>
          <w:trHeight w:val="6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145A7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9BC76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FB577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14B5B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HSA-163200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4B394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Respiratory electron transport, ATP synthesis by chemiosmotic coupling, and heat production by uncoupling proteins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A2695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6F898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5.91E-30</w:t>
            </w:r>
          </w:p>
        </w:tc>
      </w:tr>
      <w:tr w:rsidR="00597C62" w:rsidRPr="00597C62" w14:paraId="3147584D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DDD97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AAE31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95A74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FE703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HSA-611105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E33E2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Respiratory electron transport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93E1E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0D6A5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7E-24</w:t>
            </w:r>
          </w:p>
        </w:tc>
      </w:tr>
      <w:tr w:rsidR="00597C62" w:rsidRPr="00597C62" w14:paraId="0D98AC07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34C14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A6765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D5625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EBC15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HSA-6799198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2482C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Complex I biogenesis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791F5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732E8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8.18E-15</w:t>
            </w:r>
          </w:p>
        </w:tc>
      </w:tr>
      <w:tr w:rsidR="00597C62" w:rsidRPr="00597C62" w14:paraId="75F6737F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C2F6F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47337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44E02C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58ADA1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HSA-1430728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09FBC9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Metabolism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0D496E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C6BABB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1.73E-13</w:t>
            </w:r>
          </w:p>
        </w:tc>
      </w:tr>
      <w:tr w:rsidR="00597C62" w:rsidRPr="00597C62" w14:paraId="4A0266B1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9BEA2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30B1F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E5591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Cluster 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56315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HSA-72203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6FA71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Processing of capped intron-containing pre-mRNA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2846A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E954D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2.69E-26</w:t>
            </w:r>
          </w:p>
        </w:tc>
      </w:tr>
      <w:tr w:rsidR="00597C62" w:rsidRPr="00597C62" w14:paraId="341EF0A9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A6539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A1C24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66226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03A2D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HSA-72163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4992E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mRNA splicing - major pathway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54277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3B762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1.18E-23</w:t>
            </w:r>
          </w:p>
        </w:tc>
      </w:tr>
      <w:tr w:rsidR="00597C62" w:rsidRPr="00597C62" w14:paraId="7BCACCBB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356DE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84375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0E447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24C8A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HSA-8953854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F0E51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Metabolism of RNA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51E81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0160E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1.22E-22</w:t>
            </w:r>
          </w:p>
        </w:tc>
      </w:tr>
      <w:tr w:rsidR="00597C62" w:rsidRPr="00597C62" w14:paraId="7D28716D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D243C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3E6D8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BA62A" w14:textId="77777777" w:rsidR="00597C62" w:rsidRPr="00597C62" w:rsidRDefault="00597C62" w:rsidP="00597C6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26DDB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HSA-73856</w:t>
            </w: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D20CE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RNA polymerase II transcription termination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06C27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214E5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1.58E-10</w:t>
            </w:r>
          </w:p>
        </w:tc>
      </w:tr>
      <w:tr w:rsidR="00597C62" w:rsidRPr="00597C62" w14:paraId="55B5A0AE" w14:textId="77777777" w:rsidTr="00597C6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945371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51DECF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DD6CFD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AAEBD1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HSA-72187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259CD4" w14:textId="77777777" w:rsidR="00597C62" w:rsidRPr="00597C62" w:rsidRDefault="00597C62" w:rsidP="00597C62">
            <w:pPr>
              <w:widowControl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mRNA 3-end processing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FE13B5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46E46A" w14:textId="77777777" w:rsidR="00597C62" w:rsidRPr="00597C62" w:rsidRDefault="00597C62" w:rsidP="00597C62">
            <w:pPr>
              <w:widowControl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97C62"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  <w:t>1.11E-06</w:t>
            </w:r>
          </w:p>
        </w:tc>
      </w:tr>
    </w:tbl>
    <w:p w14:paraId="2D49DE7E" w14:textId="77777777" w:rsidR="00597C62" w:rsidRPr="00597C62" w:rsidRDefault="00597C62">
      <w:pPr>
        <w:rPr>
          <w:rFonts w:ascii="Times New Roman" w:eastAsia="MS PGothic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12D31D0E" w14:textId="77777777" w:rsidR="00F803A2" w:rsidRDefault="00F803A2" w:rsidP="00F803A2">
      <w:pPr>
        <w:pStyle w:val="AGTABnote"/>
      </w:pPr>
      <w:r w:rsidRPr="00C65381">
        <w:t xml:space="preserve">For each comparison (young → middle, middle → old, and young → old), differentially expressed genes (DEGs) were analyzed using STRING to identify protein–protein interaction (PPI) networks. Functional clusters within the networks were annotated using </w:t>
      </w:r>
      <w:proofErr w:type="spellStart"/>
      <w:r w:rsidRPr="00C65381">
        <w:t>Reactome</w:t>
      </w:r>
      <w:proofErr w:type="spellEnd"/>
      <w:r w:rsidRPr="00C65381">
        <w:t xml:space="preserve"> pathways. The top five enriched pathways for each cluster are listed with their respective gene counts and false discovery rate (FDR) values.</w:t>
      </w:r>
    </w:p>
    <w:p w14:paraId="2AD438A8" w14:textId="77777777" w:rsidR="00597C62" w:rsidRPr="00597C62" w:rsidRDefault="00597C62" w:rsidP="00F803A2">
      <w:pPr>
        <w:rPr>
          <w:rFonts w:ascii="Times New Roman" w:eastAsia="MS PGothic" w:hAnsi="Times New Roman" w:cs="Times New Roman"/>
          <w:b/>
          <w:bCs/>
          <w:kern w:val="0"/>
          <w:sz w:val="20"/>
          <w:szCs w:val="20"/>
          <w14:ligatures w14:val="none"/>
        </w:rPr>
      </w:pPr>
    </w:p>
    <w:sectPr w:rsidR="00597C62" w:rsidRPr="00597C62" w:rsidSect="00810382">
      <w:pgSz w:w="16838" w:h="11906" w:orient="landscape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A6"/>
    <w:rsid w:val="00527452"/>
    <w:rsid w:val="00597C62"/>
    <w:rsid w:val="00746F5E"/>
    <w:rsid w:val="00810382"/>
    <w:rsid w:val="00934CB8"/>
    <w:rsid w:val="00A8346B"/>
    <w:rsid w:val="00E85833"/>
    <w:rsid w:val="00F803A2"/>
    <w:rsid w:val="00F9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C11A7E"/>
  <w15:chartTrackingRefBased/>
  <w15:docId w15:val="{65DAEC2C-501D-4FA1-ABBB-38AFE935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1B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B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B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B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B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B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B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B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B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B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BA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B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B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B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B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B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BA6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F91B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B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B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B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BA6"/>
    <w:rPr>
      <w:b/>
      <w:bCs/>
      <w:smallCaps/>
      <w:color w:val="0F4761" w:themeColor="accent1" w:themeShade="BF"/>
      <w:spacing w:val="5"/>
    </w:rPr>
  </w:style>
  <w:style w:type="paragraph" w:customStyle="1" w:styleId="AGTABCaption">
    <w:name w:val="AG_TAB_Caption"/>
    <w:basedOn w:val="Normal"/>
    <w:qFormat/>
    <w:rsid w:val="00F803A2"/>
    <w:pPr>
      <w:spacing w:after="120"/>
      <w:jc w:val="both"/>
    </w:pPr>
    <w:rPr>
      <w:rFonts w:ascii="Calibri" w:eastAsia="Times New Roman" w:hAnsi="Calibri" w:cs="Times New Roman"/>
      <w:b/>
      <w:color w:val="231F20"/>
      <w:kern w:val="0"/>
      <w:sz w:val="22"/>
      <w:lang w:eastAsia="en-US"/>
      <w14:ligatures w14:val="none"/>
    </w:rPr>
  </w:style>
  <w:style w:type="paragraph" w:customStyle="1" w:styleId="AGTABnote">
    <w:name w:val="AG_TAB_note"/>
    <w:basedOn w:val="Normal"/>
    <w:qFormat/>
    <w:rsid w:val="00F803A2"/>
    <w:pPr>
      <w:widowControl/>
      <w:spacing w:before="120"/>
    </w:pPr>
    <w:rPr>
      <w:rFonts w:eastAsia="Times New Roman" w:cstheme="minorHAnsi"/>
      <w:kern w:val="0"/>
      <w:sz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1078</Words>
  <Characters>5466</Characters>
  <Application>Microsoft Office Word</Application>
  <DocSecurity>0</DocSecurity>
  <Lines>496</Lines>
  <Paragraphs>436</Paragraphs>
  <ScaleCrop>false</ScaleCrop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倫子</dc:creator>
  <cp:keywords/>
  <dc:description/>
  <cp:lastModifiedBy>Comp</cp:lastModifiedBy>
  <cp:revision>5</cp:revision>
  <dcterms:created xsi:type="dcterms:W3CDTF">2025-09-23T15:25:00Z</dcterms:created>
  <dcterms:modified xsi:type="dcterms:W3CDTF">2026-04-06T14:02:00Z</dcterms:modified>
</cp:coreProperties>
</file>